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A6" w:rsidRDefault="00B351A6" w:rsidP="009B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z w:val="32"/>
          <w:szCs w:val="20"/>
        </w:rPr>
      </w:pPr>
      <w:r w:rsidRPr="00B351A6">
        <w:rPr>
          <w:rFonts w:cs="Courier"/>
          <w:b/>
          <w:sz w:val="32"/>
          <w:szCs w:val="20"/>
        </w:rPr>
        <w:t xml:space="preserve">Resolution:  </w:t>
      </w:r>
    </w:p>
    <w:p w:rsidR="00B351A6" w:rsidRPr="00B351A6" w:rsidRDefault="00B351A6" w:rsidP="009B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z w:val="32"/>
          <w:szCs w:val="20"/>
        </w:rPr>
      </w:pPr>
      <w:r w:rsidRPr="00B351A6">
        <w:rPr>
          <w:rFonts w:cs="Courier"/>
          <w:b/>
          <w:sz w:val="32"/>
          <w:szCs w:val="20"/>
        </w:rPr>
        <w:t xml:space="preserve">Reduce </w:t>
      </w:r>
      <w:r w:rsidR="00984D93">
        <w:rPr>
          <w:rFonts w:cs="Courier"/>
          <w:b/>
          <w:sz w:val="32"/>
          <w:szCs w:val="20"/>
        </w:rPr>
        <w:t xml:space="preserve">the impacts of </w:t>
      </w:r>
      <w:r w:rsidRPr="00B351A6">
        <w:rPr>
          <w:rFonts w:cs="Courier"/>
          <w:b/>
          <w:sz w:val="32"/>
          <w:szCs w:val="20"/>
        </w:rPr>
        <w:t xml:space="preserve">Navy Expansion </w:t>
      </w:r>
      <w:r w:rsidR="00984D93">
        <w:rPr>
          <w:rFonts w:cs="Courier"/>
          <w:b/>
          <w:sz w:val="32"/>
          <w:szCs w:val="20"/>
        </w:rPr>
        <w:t xml:space="preserve">and training </w:t>
      </w:r>
      <w:r w:rsidR="00CE3106">
        <w:rPr>
          <w:rFonts w:cs="Courier"/>
          <w:b/>
          <w:sz w:val="32"/>
          <w:szCs w:val="20"/>
        </w:rPr>
        <w:t>in Northwestern</w:t>
      </w:r>
      <w:r w:rsidRPr="00B351A6">
        <w:rPr>
          <w:rFonts w:cs="Courier"/>
          <w:b/>
          <w:sz w:val="32"/>
          <w:szCs w:val="20"/>
        </w:rPr>
        <w:t xml:space="preserve"> Washington State</w:t>
      </w:r>
    </w:p>
    <w:p w:rsidR="00B351A6" w:rsidRDefault="00B351A6"/>
    <w:p w:rsidR="00B351A6" w:rsidRDefault="00B351A6" w:rsidP="00B351A6">
      <w:pPr>
        <w:pStyle w:val="Body"/>
      </w:pPr>
    </w:p>
    <w:p w:rsidR="00544388" w:rsidRDefault="00B351A6" w:rsidP="00B351A6">
      <w:pPr>
        <w:pStyle w:val="Body"/>
      </w:pPr>
      <w:r>
        <w:rPr>
          <w:b/>
          <w:bCs/>
          <w:lang w:val="de-DE"/>
        </w:rPr>
        <w:t>WHEREAS</w:t>
      </w:r>
      <w:r>
        <w:t xml:space="preserve"> </w:t>
      </w:r>
      <w:r w:rsidR="00954EBC" w:rsidRPr="00954EBC">
        <w:rPr>
          <w:color w:val="FF0000"/>
        </w:rPr>
        <w:t>the U.S. Navy</w:t>
      </w:r>
      <w:r>
        <w:t xml:space="preserve"> conducts EA-18G Growler </w:t>
      </w:r>
      <w:r w:rsidR="00954EBC" w:rsidRPr="00954EBC">
        <w:rPr>
          <w:color w:val="FF0000"/>
        </w:rPr>
        <w:t>jet</w:t>
      </w:r>
      <w:r w:rsidR="00954EBC">
        <w:t xml:space="preserve"> </w:t>
      </w:r>
      <w:r>
        <w:t>tra</w:t>
      </w:r>
      <w:r w:rsidR="00AF507E">
        <w:t xml:space="preserve">ining flights </w:t>
      </w:r>
      <w:r w:rsidR="00AF507E" w:rsidRPr="00AF507E">
        <w:rPr>
          <w:color w:val="FF0000"/>
        </w:rPr>
        <w:t>from</w:t>
      </w:r>
      <w:r w:rsidR="00954EBC">
        <w:t xml:space="preserve"> OLF Coupeville </w:t>
      </w:r>
      <w:r w:rsidR="00954EBC" w:rsidRPr="00954EBC">
        <w:rPr>
          <w:color w:val="FF0000"/>
        </w:rPr>
        <w:t>and</w:t>
      </w:r>
      <w:r>
        <w:t xml:space="preserve"> Ault Field</w:t>
      </w:r>
      <w:r w:rsidR="00954EBC">
        <w:t xml:space="preserve"> </w:t>
      </w:r>
      <w:r w:rsidR="00954EBC" w:rsidRPr="00954EBC">
        <w:rPr>
          <w:color w:val="FF0000"/>
        </w:rPr>
        <w:t>on Whidbey Island,</w:t>
      </w:r>
      <w:r>
        <w:t xml:space="preserve"> over and near San Juan County, Jefferson County, Clallam County, Skagit County the North Cascades</w:t>
      </w:r>
      <w:r w:rsidR="00D97D64">
        <w:t>, the Olympic Mountains</w:t>
      </w:r>
      <w:r w:rsidR="00954EBC">
        <w:t xml:space="preserve"> and throughout </w:t>
      </w:r>
      <w:r w:rsidR="00954EBC" w:rsidRPr="00954EBC">
        <w:rPr>
          <w:color w:val="FF0000"/>
        </w:rPr>
        <w:t>Northwest</w:t>
      </w:r>
      <w:r w:rsidR="00954EBC">
        <w:t xml:space="preserve"> </w:t>
      </w:r>
      <w:r>
        <w:t>Washin</w:t>
      </w:r>
      <w:r w:rsidR="00954EBC">
        <w:t>gton</w:t>
      </w:r>
      <w:r w:rsidR="00F548BF" w:rsidRPr="00954EBC">
        <w:rPr>
          <w:color w:val="FF0000"/>
        </w:rPr>
        <w:t>; and</w:t>
      </w:r>
    </w:p>
    <w:p w:rsidR="00544388" w:rsidRDefault="00544388" w:rsidP="00B351A6">
      <w:pPr>
        <w:pStyle w:val="Body"/>
      </w:pPr>
    </w:p>
    <w:p w:rsidR="00024396" w:rsidRDefault="00544388" w:rsidP="00544388">
      <w:pPr>
        <w:pStyle w:val="Body"/>
      </w:pPr>
      <w:r>
        <w:rPr>
          <w:b/>
          <w:bCs/>
          <w:lang w:val="de-DE"/>
        </w:rPr>
        <w:t>WHEREAS</w:t>
      </w:r>
      <w:r w:rsidR="00954EBC">
        <w:t xml:space="preserve"> </w:t>
      </w:r>
      <w:r w:rsidR="00954EBC" w:rsidRPr="00954EBC">
        <w:rPr>
          <w:color w:val="FF0000"/>
        </w:rPr>
        <w:t>military</w:t>
      </w:r>
      <w:r>
        <w:t xml:space="preserve"> jet noise has i</w:t>
      </w:r>
      <w:r w:rsidR="00954EBC">
        <w:t xml:space="preserve">ncreased dramatically over </w:t>
      </w:r>
      <w:r w:rsidR="00954EBC" w:rsidRPr="00954EBC">
        <w:rPr>
          <w:color w:val="FF0000"/>
        </w:rPr>
        <w:t>Northwest</w:t>
      </w:r>
      <w:r w:rsidR="00954EBC">
        <w:t xml:space="preserve"> </w:t>
      </w:r>
      <w:r>
        <w:t xml:space="preserve">Washington since the </w:t>
      </w:r>
      <w:r w:rsidR="00954EBC">
        <w:t xml:space="preserve">first Growlers arrived in </w:t>
      </w:r>
      <w:r w:rsidR="00954EBC" w:rsidRPr="006B4A93">
        <w:rPr>
          <w:color w:val="auto"/>
        </w:rPr>
        <w:t>200</w:t>
      </w:r>
      <w:r w:rsidR="006B4A93" w:rsidRPr="006B4A93">
        <w:rPr>
          <w:color w:val="auto"/>
        </w:rPr>
        <w:t>8</w:t>
      </w:r>
      <w:r w:rsidR="00954EBC">
        <w:t xml:space="preserve">, </w:t>
      </w:r>
      <w:r w:rsidR="00954EBC" w:rsidRPr="00954EBC">
        <w:rPr>
          <w:color w:val="FF0000"/>
        </w:rPr>
        <w:t>and the Navy, having</w:t>
      </w:r>
      <w:r w:rsidR="00024396" w:rsidRPr="00954EBC">
        <w:rPr>
          <w:color w:val="FF0000"/>
        </w:rPr>
        <w:t xml:space="preserve"> listed</w:t>
      </w:r>
      <w:r w:rsidR="00024396">
        <w:t xml:space="preserve"> </w:t>
      </w:r>
      <w:r w:rsidR="00772E9F">
        <w:t xml:space="preserve">many surrounding communities including </w:t>
      </w:r>
      <w:r w:rsidR="00024396">
        <w:t>San Juan County</w:t>
      </w:r>
      <w:r w:rsidR="00954EBC">
        <w:t>,</w:t>
      </w:r>
      <w:r w:rsidR="00024396">
        <w:t xml:space="preserve"> as area</w:t>
      </w:r>
      <w:r w:rsidR="00772E9F">
        <w:t>s</w:t>
      </w:r>
      <w:r w:rsidR="00024396">
        <w:t xml:space="preserve"> of “No Significant Impact” from Growler no</w:t>
      </w:r>
      <w:r w:rsidR="00954EBC">
        <w:t>ise,</w:t>
      </w:r>
      <w:r w:rsidR="00024396">
        <w:t xml:space="preserve"> </w:t>
      </w:r>
      <w:r w:rsidR="00954EBC" w:rsidRPr="00954EBC">
        <w:rPr>
          <w:color w:val="FF0000"/>
        </w:rPr>
        <w:t>yet</w:t>
      </w:r>
      <w:r w:rsidR="00024396">
        <w:t xml:space="preserve"> </w:t>
      </w:r>
      <w:r>
        <w:t>San Juan County residents have entered o</w:t>
      </w:r>
      <w:r w:rsidR="00E24204">
        <w:t xml:space="preserve">ver 4,800 jet noise complaints </w:t>
      </w:r>
      <w:r>
        <w:t xml:space="preserve">on the County jet noise </w:t>
      </w:r>
      <w:r w:rsidR="000A4415">
        <w:t>reporting website</w:t>
      </w:r>
      <w:r w:rsidR="00954EBC">
        <w:t xml:space="preserve"> since May of 2014</w:t>
      </w:r>
      <w:r w:rsidR="00954EBC" w:rsidRPr="00954EBC">
        <w:rPr>
          <w:color w:val="FF0000"/>
        </w:rPr>
        <w:t>;</w:t>
      </w:r>
      <w:r w:rsidR="0005416E" w:rsidRPr="00954EBC">
        <w:rPr>
          <w:color w:val="FF0000"/>
        </w:rPr>
        <w:t xml:space="preserve"> and</w:t>
      </w:r>
      <w:r w:rsidR="00024396">
        <w:t xml:space="preserve"> </w:t>
      </w:r>
    </w:p>
    <w:p w:rsidR="00544388" w:rsidRDefault="00544388" w:rsidP="00544388">
      <w:pPr>
        <w:pStyle w:val="Body"/>
      </w:pPr>
    </w:p>
    <w:p w:rsidR="00544388" w:rsidRPr="00954EBC" w:rsidRDefault="00544388" w:rsidP="00544388">
      <w:pPr>
        <w:pStyle w:val="Body"/>
        <w:rPr>
          <w:color w:val="FF0000"/>
        </w:rPr>
      </w:pPr>
      <w:r>
        <w:rPr>
          <w:b/>
          <w:bCs/>
          <w:lang w:val="de-DE"/>
        </w:rPr>
        <w:t>WHEREAS</w:t>
      </w:r>
      <w:r w:rsidR="00954EBC">
        <w:t xml:space="preserve"> </w:t>
      </w:r>
      <w:r w:rsidR="00954EBC" w:rsidRPr="00954EBC">
        <w:rPr>
          <w:color w:val="FF0000"/>
        </w:rPr>
        <w:t>military</w:t>
      </w:r>
      <w:r>
        <w:t xml:space="preserve"> jet noise </w:t>
      </w:r>
      <w:r w:rsidR="00954EBC" w:rsidRPr="00954EBC">
        <w:rPr>
          <w:color w:val="FF0000"/>
        </w:rPr>
        <w:t>has been medically documented to</w:t>
      </w:r>
      <w:r w:rsidR="00AF507E">
        <w:t xml:space="preserve"> </w:t>
      </w:r>
      <w:r w:rsidR="00AF507E" w:rsidRPr="00AF507E">
        <w:rPr>
          <w:color w:val="FF0000"/>
        </w:rPr>
        <w:t>seriously impact</w:t>
      </w:r>
      <w:r>
        <w:t xml:space="preserve"> the health and quality </w:t>
      </w:r>
      <w:r w:rsidR="00954EBC">
        <w:t>of life of many residents in</w:t>
      </w:r>
      <w:r>
        <w:t xml:space="preserve"> </w:t>
      </w:r>
      <w:r w:rsidR="00954EBC" w:rsidRPr="00954EBC">
        <w:rPr>
          <w:color w:val="FF0000"/>
        </w:rPr>
        <w:t>Northwest Washington</w:t>
      </w:r>
      <w:r w:rsidR="0005416E" w:rsidRPr="00954EBC">
        <w:rPr>
          <w:color w:val="FF0000"/>
        </w:rPr>
        <w:t>; and</w:t>
      </w:r>
    </w:p>
    <w:p w:rsidR="00544388" w:rsidRDefault="00544388" w:rsidP="00544388">
      <w:pPr>
        <w:pStyle w:val="Body"/>
      </w:pPr>
    </w:p>
    <w:p w:rsidR="00544388" w:rsidRDefault="00544388" w:rsidP="00544388">
      <w:pPr>
        <w:pStyle w:val="Body"/>
        <w:widowControl w:val="0"/>
      </w:pPr>
      <w:r>
        <w:rPr>
          <w:b/>
          <w:bCs/>
          <w:lang w:val="de-DE"/>
        </w:rPr>
        <w:t>WHEREAS</w:t>
      </w:r>
      <w:r>
        <w:t xml:space="preserve"> communiti</w:t>
      </w:r>
      <w:r w:rsidR="00954EBC">
        <w:t xml:space="preserve">es </w:t>
      </w:r>
      <w:r w:rsidR="00954EBC">
        <w:rPr>
          <w:color w:val="FF0000"/>
        </w:rPr>
        <w:t>affected by jet noise from</w:t>
      </w:r>
      <w:r w:rsidR="00954EBC">
        <w:t xml:space="preserve"> Ault Field and OL</w:t>
      </w:r>
      <w:r>
        <w:t>F Coupeville</w:t>
      </w:r>
      <w:r w:rsidR="00954EBC">
        <w:t>,</w:t>
      </w:r>
      <w:r>
        <w:t xml:space="preserve"> including Whidbey Island, </w:t>
      </w:r>
      <w:proofErr w:type="spellStart"/>
      <w:r>
        <w:t>LaConner</w:t>
      </w:r>
      <w:proofErr w:type="spellEnd"/>
      <w:r>
        <w:t>, San Juan Coun</w:t>
      </w:r>
      <w:r w:rsidR="00954EBC">
        <w:t xml:space="preserve">ty, Port Townsend, </w:t>
      </w:r>
      <w:r w:rsidR="00954EBC" w:rsidRPr="00954EBC">
        <w:rPr>
          <w:color w:val="FF0000"/>
        </w:rPr>
        <w:t xml:space="preserve">Sequim, Port Angeles, Forks and </w:t>
      </w:r>
      <w:r w:rsidR="00AF507E">
        <w:rPr>
          <w:color w:val="FF0000"/>
        </w:rPr>
        <w:t xml:space="preserve">several </w:t>
      </w:r>
      <w:r w:rsidR="00954EBC" w:rsidRPr="00954EBC">
        <w:rPr>
          <w:color w:val="FF0000"/>
        </w:rPr>
        <w:t>Indian Reservation</w:t>
      </w:r>
      <w:r w:rsidR="00954EBC">
        <w:rPr>
          <w:color w:val="FF0000"/>
        </w:rPr>
        <w:t>s</w:t>
      </w:r>
      <w:r w:rsidR="00954EBC">
        <w:t xml:space="preserve"> </w:t>
      </w:r>
      <w:r>
        <w:t xml:space="preserve">regularly </w:t>
      </w:r>
      <w:r w:rsidRPr="00954EBC">
        <w:rPr>
          <w:color w:val="FF0000"/>
        </w:rPr>
        <w:t xml:space="preserve">measure noise levels </w:t>
      </w:r>
      <w:r w:rsidR="00954EBC" w:rsidRPr="00954EBC">
        <w:rPr>
          <w:color w:val="FF0000"/>
        </w:rPr>
        <w:t>that exceed threshol</w:t>
      </w:r>
      <w:r w:rsidR="00AF507E">
        <w:rPr>
          <w:color w:val="FF0000"/>
        </w:rPr>
        <w:t>ds for permanent hearing damage</w:t>
      </w:r>
      <w:r w:rsidR="00954EBC" w:rsidRPr="00954EBC">
        <w:rPr>
          <w:color w:val="FF0000"/>
        </w:rPr>
        <w:t>, often</w:t>
      </w:r>
      <w:r w:rsidR="00954EBC">
        <w:t xml:space="preserve"> </w:t>
      </w:r>
      <w:r>
        <w:t xml:space="preserve">between 75 and108 </w:t>
      </w:r>
      <w:proofErr w:type="spellStart"/>
      <w:r>
        <w:t>dBA</w:t>
      </w:r>
      <w:proofErr w:type="spellEnd"/>
      <w:r>
        <w:t xml:space="preserve"> inside their homes during Growler over-flights, Field Carrier Landing Practic</w:t>
      </w:r>
      <w:r w:rsidR="00954EBC">
        <w:t>e and stationary engine run ups,</w:t>
      </w:r>
      <w:r>
        <w:t xml:space="preserve"> </w:t>
      </w:r>
      <w:r w:rsidR="00954EBC">
        <w:t xml:space="preserve">that </w:t>
      </w:r>
      <w:r w:rsidR="00AF507E">
        <w:t>come</w:t>
      </w:r>
      <w:r>
        <w:t xml:space="preserve"> in bursts last</w:t>
      </w:r>
      <w:r w:rsidR="00954EBC">
        <w:t>ing</w:t>
      </w:r>
      <w:r>
        <w:t xml:space="preserve"> for hours and </w:t>
      </w:r>
      <w:r w:rsidR="00AF507E">
        <w:t xml:space="preserve">sometimes </w:t>
      </w:r>
      <w:r w:rsidR="00AF507E" w:rsidRPr="00AF507E">
        <w:rPr>
          <w:color w:val="FF0000"/>
        </w:rPr>
        <w:t>long</w:t>
      </w:r>
      <w:r w:rsidR="0005416E">
        <w:t xml:space="preserve"> after midnight</w:t>
      </w:r>
      <w:r w:rsidR="0005416E" w:rsidRPr="00954EBC">
        <w:rPr>
          <w:color w:val="FF0000"/>
        </w:rPr>
        <w:t>; and</w:t>
      </w:r>
    </w:p>
    <w:p w:rsidR="00544388" w:rsidRDefault="00544388" w:rsidP="00544388">
      <w:pPr>
        <w:pStyle w:val="Body"/>
        <w:widowControl w:val="0"/>
      </w:pPr>
    </w:p>
    <w:p w:rsidR="00567ADA" w:rsidRDefault="00544388" w:rsidP="00544388">
      <w:pPr>
        <w:pStyle w:val="Body"/>
        <w:widowControl w:val="0"/>
      </w:pPr>
      <w:r>
        <w:rPr>
          <w:b/>
          <w:bCs/>
          <w:lang w:val="de-DE"/>
        </w:rPr>
        <w:t>WHEREAS</w:t>
      </w:r>
      <w:r>
        <w:t xml:space="preserve"> the</w:t>
      </w:r>
      <w:r w:rsidRPr="00954EBC">
        <w:rPr>
          <w:color w:val="FF0000"/>
        </w:rPr>
        <w:t xml:space="preserve"> </w:t>
      </w:r>
      <w:r w:rsidR="00954EBC" w:rsidRPr="00954EBC">
        <w:rPr>
          <w:color w:val="FF0000"/>
        </w:rPr>
        <w:t>historically</w:t>
      </w:r>
      <w:r w:rsidR="00954EBC">
        <w:t xml:space="preserve"> </w:t>
      </w:r>
      <w:r>
        <w:t>q</w:t>
      </w:r>
      <w:r w:rsidR="00954EBC">
        <w:t xml:space="preserve">uiet and pristine nature of  </w:t>
      </w:r>
      <w:r w:rsidR="00954EBC" w:rsidRPr="00954EBC">
        <w:rPr>
          <w:color w:val="FF0000"/>
        </w:rPr>
        <w:t>Northwest</w:t>
      </w:r>
      <w:r w:rsidR="00954EBC">
        <w:t xml:space="preserve"> </w:t>
      </w:r>
      <w:r>
        <w:t>Washington</w:t>
      </w:r>
      <w:r w:rsidR="00567ADA">
        <w:t xml:space="preserve">, </w:t>
      </w:r>
      <w:r>
        <w:t xml:space="preserve">with its marine protected areas, National Monuments and National </w:t>
      </w:r>
      <w:r w:rsidR="00567ADA">
        <w:t xml:space="preserve">Parks, </w:t>
      </w:r>
      <w:r w:rsidR="00024396">
        <w:t xml:space="preserve">National Forests, </w:t>
      </w:r>
      <w:r w:rsidR="00567ADA">
        <w:t xml:space="preserve">State Parks, National Wildlife Refuges, </w:t>
      </w:r>
      <w:hyperlink r:id="rId5" w:anchor="h-36" w:history="1">
        <w:r w:rsidR="00984D93">
          <w:rPr>
            <w:rStyle w:val="Hyperlink"/>
          </w:rPr>
          <w:t>Olympic Coast National Marine Sanctuary</w:t>
        </w:r>
      </w:hyperlink>
      <w:r w:rsidR="00984D93">
        <w:t xml:space="preserve">, </w:t>
      </w:r>
      <w:r w:rsidR="00567ADA">
        <w:t>the Olympic Mountain</w:t>
      </w:r>
      <w:r w:rsidR="00954EBC">
        <w:t>s and Cascade Mountains attract</w:t>
      </w:r>
      <w:r>
        <w:t xml:space="preserve"> </w:t>
      </w:r>
      <w:r w:rsidR="00567ADA">
        <w:t>agriculture, outdoor recreation of all kinds</w:t>
      </w:r>
      <w:r>
        <w:t xml:space="preserve">, kayakers, sailors, </w:t>
      </w:r>
      <w:r w:rsidR="00567ADA">
        <w:t>t</w:t>
      </w:r>
      <w:r w:rsidR="00954EBC">
        <w:t>ourists from around the world</w:t>
      </w:r>
      <w:r w:rsidR="00AF507E">
        <w:t>,</w:t>
      </w:r>
      <w:r w:rsidR="00954EBC">
        <w:t xml:space="preserve"> (</w:t>
      </w:r>
      <w:r w:rsidR="00567ADA">
        <w:t>3 million to the Olympic National Park, 1</w:t>
      </w:r>
      <w:r w:rsidR="00954EBC">
        <w:t xml:space="preserve"> million to San Juan County)</w:t>
      </w:r>
      <w:r w:rsidR="00567ADA">
        <w:t xml:space="preserve"> and </w:t>
      </w:r>
      <w:r w:rsidR="00984D93">
        <w:t>are home to</w:t>
      </w:r>
      <w:r w:rsidR="00567ADA">
        <w:t xml:space="preserve"> small communities </w:t>
      </w:r>
      <w:r w:rsidR="00954EBC" w:rsidRPr="00954EBC">
        <w:rPr>
          <w:color w:val="FF0000"/>
        </w:rPr>
        <w:t xml:space="preserve">that </w:t>
      </w:r>
      <w:r w:rsidR="00567ADA">
        <w:t>value</w:t>
      </w:r>
      <w:r w:rsidR="00954EBC">
        <w:t xml:space="preserve"> the </w:t>
      </w:r>
      <w:r w:rsidR="00954EBC" w:rsidRPr="00954EBC">
        <w:rPr>
          <w:color w:val="FF0000"/>
        </w:rPr>
        <w:t>quiet</w:t>
      </w:r>
      <w:r w:rsidR="00954EBC">
        <w:t xml:space="preserve"> rural, residential,</w:t>
      </w:r>
      <w:r w:rsidR="00567ADA">
        <w:t xml:space="preserve"> agricultural, and mar</w:t>
      </w:r>
      <w:r w:rsidR="0005416E">
        <w:t>ine environments of these lands</w:t>
      </w:r>
      <w:r w:rsidR="0005416E" w:rsidRPr="00954EBC">
        <w:rPr>
          <w:color w:val="FF0000"/>
        </w:rPr>
        <w:t>; and</w:t>
      </w:r>
    </w:p>
    <w:p w:rsidR="00567ADA" w:rsidRDefault="00567ADA" w:rsidP="00544388">
      <w:pPr>
        <w:pStyle w:val="Body"/>
        <w:widowControl w:val="0"/>
      </w:pPr>
    </w:p>
    <w:p w:rsidR="00567ADA" w:rsidRDefault="00567ADA" w:rsidP="00544388">
      <w:pPr>
        <w:pStyle w:val="Body"/>
        <w:widowControl w:val="0"/>
      </w:pPr>
      <w:r w:rsidRPr="007034D3">
        <w:rPr>
          <w:rFonts w:cs="Courier"/>
          <w:b/>
          <w:bCs/>
          <w:szCs w:val="20"/>
          <w:bdr w:val="none" w:sz="0" w:space="0" w:color="auto"/>
          <w:lang w:val="de-DE"/>
        </w:rPr>
        <w:t>WHEREAS</w:t>
      </w:r>
      <w:r w:rsidR="00954EBC">
        <w:rPr>
          <w:rFonts w:ascii="Courier" w:hAnsi="Courier" w:cs="Courier"/>
          <w:szCs w:val="20"/>
          <w:bdr w:val="none" w:sz="0" w:space="0" w:color="auto"/>
        </w:rPr>
        <w:t xml:space="preserve"> </w:t>
      </w:r>
      <w:r w:rsidRPr="007034D3">
        <w:rPr>
          <w:rFonts w:cs="Courier"/>
          <w:szCs w:val="20"/>
          <w:bdr w:val="none" w:sz="0" w:space="0" w:color="auto"/>
        </w:rPr>
        <w:t>the current level of jet noise has affected real estate sales</w:t>
      </w:r>
      <w:r>
        <w:rPr>
          <w:rFonts w:cs="Courier"/>
          <w:szCs w:val="20"/>
          <w:bdr w:val="none" w:sz="0" w:space="0" w:color="auto"/>
        </w:rPr>
        <w:t xml:space="preserve"> in San Juan County and </w:t>
      </w:r>
      <w:r w:rsidR="00772E9F">
        <w:rPr>
          <w:rFonts w:cs="Courier"/>
          <w:szCs w:val="20"/>
          <w:bdr w:val="none" w:sz="0" w:space="0" w:color="auto"/>
        </w:rPr>
        <w:t>Island County</w:t>
      </w:r>
      <w:r w:rsidR="00954EBC">
        <w:rPr>
          <w:rFonts w:cs="Courier"/>
          <w:szCs w:val="20"/>
          <w:bdr w:val="none" w:sz="0" w:space="0" w:color="auto"/>
        </w:rPr>
        <w:t>,</w:t>
      </w:r>
      <w:r>
        <w:rPr>
          <w:rFonts w:cs="Courier"/>
          <w:szCs w:val="20"/>
          <w:bdr w:val="none" w:sz="0" w:space="0" w:color="auto"/>
        </w:rPr>
        <w:t xml:space="preserve"> forcing</w:t>
      </w:r>
      <w:r w:rsidRPr="007034D3">
        <w:rPr>
          <w:rFonts w:cs="Courier"/>
          <w:szCs w:val="20"/>
          <w:bdr w:val="none" w:sz="0" w:space="0" w:color="auto"/>
        </w:rPr>
        <w:t xml:space="preserve"> local realtors </w:t>
      </w:r>
      <w:r>
        <w:rPr>
          <w:rFonts w:cs="Courier"/>
          <w:szCs w:val="20"/>
          <w:bdr w:val="none" w:sz="0" w:space="0" w:color="auto"/>
        </w:rPr>
        <w:t xml:space="preserve">on Whidbey Island and San Juan County </w:t>
      </w:r>
      <w:r w:rsidRPr="007034D3">
        <w:rPr>
          <w:rFonts w:cs="Courier"/>
          <w:szCs w:val="20"/>
          <w:bdr w:val="none" w:sz="0" w:space="0" w:color="auto"/>
        </w:rPr>
        <w:t xml:space="preserve">to add a military jet noise disclosure clause to </w:t>
      </w:r>
      <w:r>
        <w:t>property</w:t>
      </w:r>
      <w:r w:rsidR="00772E9F">
        <w:t xml:space="preserve"> sales</w:t>
      </w:r>
      <w:r w:rsidR="0005416E" w:rsidRPr="00954EBC">
        <w:rPr>
          <w:color w:val="FF0000"/>
        </w:rPr>
        <w:t>; and</w:t>
      </w:r>
    </w:p>
    <w:p w:rsidR="00567ADA" w:rsidRDefault="00567ADA" w:rsidP="00544388">
      <w:pPr>
        <w:pStyle w:val="Body"/>
        <w:widowControl w:val="0"/>
      </w:pPr>
    </w:p>
    <w:p w:rsidR="00984D93" w:rsidRDefault="00567ADA" w:rsidP="00567ADA">
      <w:pPr>
        <w:pStyle w:val="Body"/>
        <w:spacing w:after="60"/>
      </w:pPr>
      <w:r>
        <w:rPr>
          <w:b/>
          <w:bCs/>
          <w:lang w:val="de-DE"/>
        </w:rPr>
        <w:t>WHEREAS</w:t>
      </w:r>
      <w:r>
        <w:t xml:space="preserve"> the Navy did not begin a full Environmental Impact Statement on the Growlers until the Fall of 2013, five y</w:t>
      </w:r>
      <w:r w:rsidR="006B4A93">
        <w:t xml:space="preserve">ears after they were deployed, </w:t>
      </w:r>
      <w:r w:rsidR="006B4A93" w:rsidRPr="006B4A93">
        <w:rPr>
          <w:color w:val="FF0000"/>
        </w:rPr>
        <w:t>and t</w:t>
      </w:r>
      <w:r w:rsidRPr="006B4A93">
        <w:rPr>
          <w:color w:val="FF0000"/>
        </w:rPr>
        <w:t>o</w:t>
      </w:r>
      <w:r w:rsidR="0005416E" w:rsidRPr="006B4A93">
        <w:rPr>
          <w:color w:val="FF0000"/>
        </w:rPr>
        <w:t xml:space="preserve"> </w:t>
      </w:r>
      <w:r w:rsidRPr="006B4A93">
        <w:rPr>
          <w:color w:val="FF0000"/>
        </w:rPr>
        <w:t>date</w:t>
      </w:r>
      <w:r>
        <w:t xml:space="preserve">, </w:t>
      </w:r>
      <w:r w:rsidR="00772E9F">
        <w:t>the EIS draft has not been issued and</w:t>
      </w:r>
      <w:r>
        <w:t xml:space="preserve"> the Navy has </w:t>
      </w:r>
      <w:r w:rsidR="00D97D64">
        <w:t xml:space="preserve">done </w:t>
      </w:r>
      <w:r>
        <w:t xml:space="preserve">nothing to mitigate the noise from the Growlers – no baffles, no Hush House, no schedule of trainings </w:t>
      </w:r>
      <w:r w:rsidR="00024396">
        <w:t xml:space="preserve">at Ault Field </w:t>
      </w:r>
      <w:r>
        <w:t xml:space="preserve">which would help residents </w:t>
      </w:r>
      <w:r w:rsidR="00A1660E">
        <w:t>gain s</w:t>
      </w:r>
      <w:r w:rsidR="0005416E">
        <w:t>ome control over their property</w:t>
      </w:r>
      <w:r w:rsidR="0005416E" w:rsidRPr="006B4A93">
        <w:rPr>
          <w:color w:val="FF0000"/>
        </w:rPr>
        <w:t>; and</w:t>
      </w:r>
    </w:p>
    <w:p w:rsidR="002E26C0" w:rsidRDefault="002E26C0" w:rsidP="002E26C0">
      <w:pPr>
        <w:pStyle w:val="Body"/>
        <w:spacing w:after="60"/>
      </w:pPr>
    </w:p>
    <w:p w:rsidR="002E26C0" w:rsidRDefault="002E26C0" w:rsidP="002E26C0">
      <w:pPr>
        <w:pStyle w:val="Body"/>
        <w:spacing w:after="60"/>
      </w:pPr>
      <w:r>
        <w:rPr>
          <w:b/>
          <w:bCs/>
          <w:lang w:val="de-DE"/>
        </w:rPr>
        <w:t>WHEREAS</w:t>
      </w:r>
      <w:r w:rsidR="00984D93">
        <w:rPr>
          <w:b/>
          <w:bCs/>
          <w:lang w:val="de-DE"/>
        </w:rPr>
        <w:t xml:space="preserve"> </w:t>
      </w:r>
      <w:r w:rsidR="00024396">
        <w:rPr>
          <w:bCs/>
          <w:lang w:val="de-DE"/>
        </w:rPr>
        <w:t xml:space="preserve">the </w:t>
      </w:r>
      <w:r w:rsidR="00984D93" w:rsidRPr="00984D93">
        <w:rPr>
          <w:bCs/>
          <w:lang w:val="de-DE"/>
        </w:rPr>
        <w:t>Navy plans</w:t>
      </w:r>
      <w:r w:rsidR="00984D93">
        <w:rPr>
          <w:bCs/>
          <w:lang w:val="de-DE"/>
        </w:rPr>
        <w:t xml:space="preserve"> to </w:t>
      </w:r>
      <w:r w:rsidR="00024396">
        <w:t xml:space="preserve">turn the western portion of the Olympic Peninsula and surrounding waters into an Electromagnetic Warfare </w:t>
      </w:r>
      <w:r w:rsidR="006B4A93">
        <w:t>Range</w:t>
      </w:r>
      <w:r w:rsidR="006B4A93" w:rsidRPr="006B4A93">
        <w:rPr>
          <w:color w:val="FF0000"/>
        </w:rPr>
        <w:t>, flying</w:t>
      </w:r>
      <w:r w:rsidR="00D97D64">
        <w:t xml:space="preserve"> </w:t>
      </w:r>
      <w:r>
        <w:t>260 days per year, 8-16 hours per day, up to 153 of the loudest jets on the planet, capable of 150 decibels, over th</w:t>
      </w:r>
      <w:r w:rsidR="00024396">
        <w:t>e</w:t>
      </w:r>
      <w:r>
        <w:t xml:space="preserve"> f</w:t>
      </w:r>
      <w:r w:rsidR="0005416E">
        <w:t>amously quiet Olympic Peninsula</w:t>
      </w:r>
      <w:r w:rsidR="0005416E" w:rsidRPr="006B4A93">
        <w:rPr>
          <w:color w:val="FF0000"/>
        </w:rPr>
        <w:t>; and</w:t>
      </w:r>
    </w:p>
    <w:p w:rsidR="002E26C0" w:rsidRDefault="002E26C0" w:rsidP="002E26C0">
      <w:pPr>
        <w:pStyle w:val="Body"/>
        <w:spacing w:after="60"/>
      </w:pPr>
    </w:p>
    <w:p w:rsidR="006136FD" w:rsidRDefault="002E26C0" w:rsidP="002E26C0">
      <w:pPr>
        <w:pStyle w:val="Body"/>
        <w:spacing w:after="60"/>
      </w:pPr>
      <w:r>
        <w:rPr>
          <w:b/>
          <w:bCs/>
          <w:lang w:val="de-DE"/>
        </w:rPr>
        <w:t>WHEREAS</w:t>
      </w:r>
      <w:r>
        <w:t xml:space="preserve"> Navy SEALs will  be doing combat training on 68+ beaches in Puget Sound, the Stra</w:t>
      </w:r>
      <w:r w:rsidR="006B4A93">
        <w:t>it of Juan de Fuca and Pacific O</w:t>
      </w:r>
      <w:r>
        <w:t>cean beaches in Washington, unannounced and undisclosed to the public and to st</w:t>
      </w:r>
      <w:r w:rsidR="0005416E">
        <w:t>ate, local and federal agencies</w:t>
      </w:r>
      <w:r w:rsidR="0005416E" w:rsidRPr="006B4A93">
        <w:rPr>
          <w:color w:val="FF0000"/>
        </w:rPr>
        <w:t>; and</w:t>
      </w:r>
    </w:p>
    <w:p w:rsidR="006136FD" w:rsidRDefault="006136FD" w:rsidP="002E26C0">
      <w:pPr>
        <w:pStyle w:val="Body"/>
        <w:spacing w:after="60"/>
      </w:pPr>
    </w:p>
    <w:p w:rsidR="006136FD" w:rsidRDefault="006136FD" w:rsidP="002D37C9">
      <w:pPr>
        <w:spacing w:beforeLines="1" w:afterLines="1"/>
        <w:rPr>
          <w:szCs w:val="20"/>
        </w:rPr>
      </w:pPr>
      <w:r>
        <w:rPr>
          <w:b/>
          <w:bCs/>
          <w:lang w:val="de-DE"/>
        </w:rPr>
        <w:t>WHEREAS</w:t>
      </w:r>
      <w:r w:rsidRPr="006136FD">
        <w:rPr>
          <w:rFonts w:cs="Times New Roman"/>
          <w:b/>
          <w:i/>
          <w:szCs w:val="20"/>
        </w:rPr>
        <w:t xml:space="preserve"> </w:t>
      </w:r>
      <w:r w:rsidRPr="006136FD">
        <w:rPr>
          <w:rFonts w:cs="Times New Roman"/>
          <w:szCs w:val="20"/>
        </w:rPr>
        <w:t xml:space="preserve">The </w:t>
      </w:r>
      <w:r>
        <w:rPr>
          <w:rFonts w:cs="Times New Roman"/>
          <w:szCs w:val="20"/>
        </w:rPr>
        <w:t xml:space="preserve">Navy plans an </w:t>
      </w:r>
      <w:r w:rsidR="006B4A93" w:rsidRPr="006B4A93">
        <w:rPr>
          <w:rFonts w:cs="Times New Roman"/>
          <w:color w:val="FF0000"/>
          <w:szCs w:val="20"/>
        </w:rPr>
        <w:t>unprecedented</w:t>
      </w:r>
      <w:r w:rsidR="006B4A93">
        <w:rPr>
          <w:rFonts w:cs="Times New Roman"/>
          <w:szCs w:val="20"/>
        </w:rPr>
        <w:t xml:space="preserve"> e</w:t>
      </w:r>
      <w:r w:rsidRPr="006136FD">
        <w:rPr>
          <w:rFonts w:cs="Times New Roman"/>
          <w:szCs w:val="20"/>
        </w:rPr>
        <w:t>xpansion of sonar and explosive activities </w:t>
      </w:r>
      <w:r>
        <w:rPr>
          <w:rFonts w:cs="Times New Roman"/>
          <w:szCs w:val="20"/>
        </w:rPr>
        <w:t xml:space="preserve">in </w:t>
      </w:r>
      <w:r w:rsidRPr="006136FD">
        <w:rPr>
          <w:rFonts w:cs="Times New Roman"/>
          <w:szCs w:val="20"/>
        </w:rPr>
        <w:t xml:space="preserve">the Strait of Juan de Fuca, the waters off Indian Island, Puget Sound, and the Olympic Coast National Marine Sanctuary, which </w:t>
      </w:r>
      <w:r w:rsidRPr="006136FD">
        <w:rPr>
          <w:rFonts w:cs="Times New Roman"/>
          <w:szCs w:val="20"/>
        </w:rPr>
        <w:lastRenderedPageBreak/>
        <w:t xml:space="preserve">consists of 2,408 square nautical miles </w:t>
      </w:r>
      <w:r w:rsidR="006B4A93">
        <w:rPr>
          <w:rFonts w:cs="Times New Roman"/>
          <w:szCs w:val="20"/>
        </w:rPr>
        <w:t>of Olympic Peninsula coastline, in which</w:t>
      </w:r>
      <w:r w:rsidRPr="006136FD">
        <w:rPr>
          <w:szCs w:val="20"/>
        </w:rPr>
        <w:t xml:space="preserve"> the mid-frequency sonar systems the Navy employs are capable of generating s</w:t>
      </w:r>
      <w:r w:rsidR="0005416E">
        <w:rPr>
          <w:szCs w:val="20"/>
        </w:rPr>
        <w:t>ounds in excess of 235 decibels</w:t>
      </w:r>
      <w:r w:rsidR="0005416E" w:rsidRPr="006B4A93">
        <w:rPr>
          <w:color w:val="FF0000"/>
          <w:szCs w:val="20"/>
        </w:rPr>
        <w:t>; and</w:t>
      </w:r>
    </w:p>
    <w:p w:rsidR="006136FD" w:rsidRDefault="006136FD" w:rsidP="002D37C9">
      <w:pPr>
        <w:spacing w:beforeLines="1" w:afterLines="1"/>
      </w:pPr>
    </w:p>
    <w:p w:rsidR="00772E9F" w:rsidRDefault="006136FD" w:rsidP="002D37C9">
      <w:pPr>
        <w:spacing w:beforeLines="1" w:afterLines="1"/>
      </w:pPr>
      <w:r>
        <w:rPr>
          <w:b/>
          <w:bCs/>
          <w:lang w:val="de-DE"/>
        </w:rPr>
        <w:t>WHEREAS</w:t>
      </w:r>
      <w:r>
        <w:t xml:space="preserve"> The Navy estimates hundreds of thousands of marine mammals would be killed or harmed within the</w:t>
      </w:r>
      <w:r w:rsidRPr="006B4A93">
        <w:rPr>
          <w:color w:val="FF0000"/>
        </w:rPr>
        <w:t xml:space="preserve"> </w:t>
      </w:r>
      <w:r w:rsidR="006B4A93" w:rsidRPr="006B4A93">
        <w:rPr>
          <w:color w:val="FF0000"/>
        </w:rPr>
        <w:t>vast</w:t>
      </w:r>
      <w:r w:rsidR="006B4A93">
        <w:t xml:space="preserve"> </w:t>
      </w:r>
      <w:r w:rsidR="00D97D64">
        <w:t>m</w:t>
      </w:r>
      <w:r>
        <w:t>ilitarized sonar and explosive training zones</w:t>
      </w:r>
      <w:r w:rsidR="0088776F">
        <w:t xml:space="preserve"> in Northwest Washington waters</w:t>
      </w:r>
      <w:r w:rsidR="006B4A93">
        <w:t xml:space="preserve">, </w:t>
      </w:r>
      <w:r w:rsidR="006B4A93" w:rsidRPr="006B4A93">
        <w:rPr>
          <w:color w:val="FF0000"/>
        </w:rPr>
        <w:t xml:space="preserve">and the </w:t>
      </w:r>
      <w:r w:rsidR="0088776F">
        <w:rPr>
          <w:color w:val="FF0000"/>
        </w:rPr>
        <w:t xml:space="preserve">5-year </w:t>
      </w:r>
      <w:r w:rsidR="006B4A93" w:rsidRPr="006B4A93">
        <w:rPr>
          <w:color w:val="FF0000"/>
        </w:rPr>
        <w:t xml:space="preserve">Letter of Authorization issued </w:t>
      </w:r>
      <w:r w:rsidR="006B4A93">
        <w:rPr>
          <w:color w:val="FF0000"/>
        </w:rPr>
        <w:t xml:space="preserve">to the Navy </w:t>
      </w:r>
      <w:r w:rsidR="006B4A93" w:rsidRPr="006B4A93">
        <w:rPr>
          <w:color w:val="FF0000"/>
        </w:rPr>
        <w:t xml:space="preserve">by NOAA </w:t>
      </w:r>
      <w:r w:rsidR="006B4A93">
        <w:rPr>
          <w:color w:val="FF0000"/>
        </w:rPr>
        <w:t>allows an unsustainable number of</w:t>
      </w:r>
      <w:r w:rsidR="006B4A93" w:rsidRPr="006B4A93">
        <w:rPr>
          <w:color w:val="FF0000"/>
        </w:rPr>
        <w:t xml:space="preserve"> more than 1.2 million takes of marine mammal species alone, many of which are to be harassed</w:t>
      </w:r>
      <w:r w:rsidRPr="006B4A93">
        <w:rPr>
          <w:color w:val="FF0000"/>
        </w:rPr>
        <w:t xml:space="preserve"> multiple </w:t>
      </w:r>
      <w:r w:rsidR="0005416E" w:rsidRPr="006B4A93">
        <w:rPr>
          <w:color w:val="FF0000"/>
        </w:rPr>
        <w:t>times;</w:t>
      </w:r>
    </w:p>
    <w:p w:rsidR="00772E9F" w:rsidRDefault="00772E9F" w:rsidP="002D37C9">
      <w:pPr>
        <w:spacing w:beforeLines="1" w:afterLines="1"/>
      </w:pPr>
    </w:p>
    <w:p w:rsidR="00772E9F" w:rsidRDefault="00772E9F" w:rsidP="00772E9F">
      <w:pPr>
        <w:pStyle w:val="Body"/>
        <w:spacing w:after="60"/>
      </w:pPr>
      <w:r>
        <w:rPr>
          <w:b/>
          <w:bCs/>
          <w:lang w:val="de-DE"/>
        </w:rPr>
        <w:t>THEREFORE BE IT RESOLVED</w:t>
      </w:r>
      <w:r>
        <w:t xml:space="preserve"> that we, the San Juan County Democrats, call on the Washington State Congressional Delegation to work with the Navy to </w:t>
      </w:r>
    </w:p>
    <w:p w:rsidR="00772E9F" w:rsidRDefault="00772E9F" w:rsidP="00772E9F">
      <w:pPr>
        <w:pStyle w:val="ListParagraph"/>
        <w:numPr>
          <w:ilvl w:val="0"/>
          <w:numId w:val="3"/>
        </w:numPr>
        <w:spacing w:after="60"/>
      </w:pPr>
      <w:r>
        <w:rPr>
          <w:b/>
          <w:bCs/>
        </w:rPr>
        <w:t>Take</w:t>
      </w:r>
      <w:r>
        <w:t xml:space="preserve"> </w:t>
      </w:r>
      <w:r>
        <w:rPr>
          <w:b/>
          <w:bCs/>
        </w:rPr>
        <w:t>immediate</w:t>
      </w:r>
      <w:r>
        <w:t xml:space="preserve"> </w:t>
      </w:r>
      <w:r>
        <w:rPr>
          <w:b/>
          <w:bCs/>
        </w:rPr>
        <w:t>steps</w:t>
      </w:r>
      <w:r>
        <w:t xml:space="preserve"> to reduce the impact of the Growler noise </w:t>
      </w:r>
      <w:r w:rsidR="00D97D64">
        <w:t xml:space="preserve">and training </w:t>
      </w:r>
      <w:r w:rsidR="00CE3106">
        <w:t xml:space="preserve">in </w:t>
      </w:r>
      <w:r w:rsidR="00CE3106" w:rsidRPr="00CE3106">
        <w:rPr>
          <w:color w:val="FF0000"/>
        </w:rPr>
        <w:t>Northwest</w:t>
      </w:r>
      <w:r w:rsidR="00CE3106">
        <w:t xml:space="preserve"> Washington</w:t>
      </w:r>
      <w:r w:rsidR="00122A60">
        <w:t>, including:</w:t>
      </w:r>
    </w:p>
    <w:p w:rsidR="00772E9F" w:rsidRDefault="00772E9F" w:rsidP="00772E9F">
      <w:pPr>
        <w:pStyle w:val="ListParagraph"/>
        <w:numPr>
          <w:ilvl w:val="1"/>
          <w:numId w:val="3"/>
        </w:numPr>
        <w:spacing w:after="60"/>
      </w:pPr>
      <w:r>
        <w:t xml:space="preserve">Change procedures to </w:t>
      </w:r>
      <w:r w:rsidRPr="00122A60">
        <w:rPr>
          <w:b/>
        </w:rPr>
        <w:t>require</w:t>
      </w:r>
      <w:r>
        <w:t xml:space="preserve"> Growlers to delay lowering landing gear to reduce noise until the jets are over water near the airfield unless specific safety concerns are identified</w:t>
      </w:r>
    </w:p>
    <w:p w:rsidR="00772E9F" w:rsidRDefault="00772E9F" w:rsidP="00772E9F">
      <w:pPr>
        <w:pStyle w:val="ListParagraph"/>
        <w:numPr>
          <w:ilvl w:val="1"/>
          <w:numId w:val="3"/>
        </w:numPr>
        <w:spacing w:after="60"/>
      </w:pPr>
      <w:r>
        <w:t xml:space="preserve">Eliminate the use of afterburners </w:t>
      </w:r>
      <w:r w:rsidR="00122A60">
        <w:t>except when required for take off.</w:t>
      </w:r>
    </w:p>
    <w:p w:rsidR="00772E9F" w:rsidRDefault="00613F49" w:rsidP="00772E9F">
      <w:pPr>
        <w:pStyle w:val="ListParagraph"/>
        <w:numPr>
          <w:ilvl w:val="1"/>
          <w:numId w:val="3"/>
        </w:numPr>
        <w:spacing w:after="60"/>
      </w:pPr>
      <w:r>
        <w:t xml:space="preserve">Reposition </w:t>
      </w:r>
      <w:r w:rsidR="00772E9F">
        <w:t xml:space="preserve">the aircraft or install mitigation </w:t>
      </w:r>
      <w:r w:rsidR="00122A60">
        <w:t xml:space="preserve">infra structure </w:t>
      </w:r>
      <w:r w:rsidR="00772E9F">
        <w:t>to reduce the noise impact of stationary engine run-up activity</w:t>
      </w:r>
      <w:r w:rsidR="00122A60">
        <w:t xml:space="preserve"> for communities around Ault Field.</w:t>
      </w:r>
    </w:p>
    <w:p w:rsidR="00772E9F" w:rsidRDefault="00772E9F" w:rsidP="00772E9F">
      <w:pPr>
        <w:pStyle w:val="ListParagraph"/>
        <w:numPr>
          <w:ilvl w:val="1"/>
          <w:numId w:val="3"/>
        </w:numPr>
        <w:spacing w:after="60"/>
      </w:pPr>
      <w:r>
        <w:t>Restore the practice of publishing the Growler training schedules</w:t>
      </w:r>
      <w:r w:rsidRPr="00772E9F">
        <w:t xml:space="preserve"> </w:t>
      </w:r>
      <w:r>
        <w:t>Ault Field so that neighboring communities can regain some control over the use of their property.  Ault Field conducts 14 – 16 thousand Field Carrier Landing practices annually – each takeoff uses afterburners.</w:t>
      </w:r>
    </w:p>
    <w:p w:rsidR="00CE3106" w:rsidRDefault="00CE3106" w:rsidP="00772E9F">
      <w:pPr>
        <w:pStyle w:val="ListParagraph"/>
        <w:numPr>
          <w:ilvl w:val="1"/>
          <w:numId w:val="3"/>
        </w:numPr>
        <w:spacing w:after="60"/>
        <w:rPr>
          <w:color w:val="FF0000"/>
        </w:rPr>
      </w:pPr>
      <w:r w:rsidRPr="001234E7">
        <w:rPr>
          <w:b/>
          <w:color w:val="FF0000"/>
        </w:rPr>
        <w:t>Prohibit aggressive flying</w:t>
      </w:r>
      <w:r w:rsidRPr="0017180F">
        <w:rPr>
          <w:color w:val="FF0000"/>
        </w:rPr>
        <w:t xml:space="preserve"> over and near civilian communities and public lands renowned for pristine quiet; this includes dogfighting, flying below minimum altitudes, </w:t>
      </w:r>
      <w:r w:rsidR="0017180F" w:rsidRPr="0017180F">
        <w:rPr>
          <w:color w:val="FF0000"/>
        </w:rPr>
        <w:t>use of afterburners, and sonic booms.</w:t>
      </w:r>
    </w:p>
    <w:p w:rsidR="0017180F" w:rsidRPr="0017180F" w:rsidRDefault="00DE5DD9" w:rsidP="00772E9F">
      <w:pPr>
        <w:pStyle w:val="ListParagraph"/>
        <w:numPr>
          <w:ilvl w:val="1"/>
          <w:numId w:val="3"/>
        </w:numPr>
        <w:spacing w:after="60"/>
        <w:rPr>
          <w:color w:val="FF0000"/>
        </w:rPr>
      </w:pPr>
      <w:r>
        <w:rPr>
          <w:b/>
          <w:color w:val="FF0000"/>
        </w:rPr>
        <w:t>Do not allow dumping of fuel or chaff.</w:t>
      </w:r>
      <w:r>
        <w:rPr>
          <w:color w:val="FF0000"/>
        </w:rPr>
        <w:t xml:space="preserve"> F</w:t>
      </w:r>
      <w:r w:rsidR="00890841">
        <w:rPr>
          <w:color w:val="FF0000"/>
        </w:rPr>
        <w:t>uel dumps</w:t>
      </w:r>
      <w:r w:rsidR="0017180F">
        <w:rPr>
          <w:color w:val="FF0000"/>
        </w:rPr>
        <w:t xml:space="preserve"> </w:t>
      </w:r>
      <w:r>
        <w:rPr>
          <w:color w:val="FF0000"/>
        </w:rPr>
        <w:t>occur</w:t>
      </w:r>
      <w:r w:rsidR="0017180F">
        <w:rPr>
          <w:color w:val="FF0000"/>
        </w:rPr>
        <w:t xml:space="preserve"> about once a month, according to an active-duty Navy pilot</w:t>
      </w:r>
      <w:r w:rsidR="00890841">
        <w:rPr>
          <w:color w:val="FF0000"/>
        </w:rPr>
        <w:t>, and chaff dumps are expected to se</w:t>
      </w:r>
      <w:r>
        <w:rPr>
          <w:color w:val="FF0000"/>
        </w:rPr>
        <w:t>e</w:t>
      </w:r>
      <w:r w:rsidR="00890841">
        <w:rPr>
          <w:color w:val="FF0000"/>
        </w:rPr>
        <w:t xml:space="preserve"> a 72% increase according to the NWTT EIS</w:t>
      </w:r>
      <w:r w:rsidR="0017180F">
        <w:rPr>
          <w:color w:val="FF0000"/>
        </w:rPr>
        <w:t xml:space="preserve">. </w:t>
      </w:r>
      <w:r w:rsidR="00FF6BD2">
        <w:rPr>
          <w:color w:val="FF0000"/>
        </w:rPr>
        <w:t>Chaff is small enough to</w:t>
      </w:r>
      <w:r w:rsidR="00F35108">
        <w:rPr>
          <w:color w:val="FF0000"/>
        </w:rPr>
        <w:t xml:space="preserve"> be inhaled or swallowed, and each cylinder</w:t>
      </w:r>
      <w:r w:rsidR="00FF6BD2">
        <w:rPr>
          <w:color w:val="FF0000"/>
        </w:rPr>
        <w:t xml:space="preserve"> contains </w:t>
      </w:r>
      <w:r w:rsidR="00F35108">
        <w:rPr>
          <w:color w:val="FF0000"/>
        </w:rPr>
        <w:t xml:space="preserve">millions of </w:t>
      </w:r>
      <w:r w:rsidR="00FF6BD2">
        <w:rPr>
          <w:color w:val="FF0000"/>
        </w:rPr>
        <w:t xml:space="preserve">heavy metal-coated glass fibers. </w:t>
      </w:r>
      <w:bookmarkStart w:id="0" w:name="_GoBack"/>
      <w:bookmarkEnd w:id="0"/>
    </w:p>
    <w:p w:rsidR="00772E9F" w:rsidRPr="00A75424" w:rsidRDefault="00122A60" w:rsidP="00772E9F">
      <w:pPr>
        <w:pStyle w:val="ListParagraph"/>
        <w:numPr>
          <w:ilvl w:val="0"/>
          <w:numId w:val="3"/>
        </w:numPr>
        <w:spacing w:after="60"/>
        <w:rPr>
          <w:color w:val="FF0000"/>
        </w:rPr>
      </w:pPr>
      <w:r>
        <w:rPr>
          <w:b/>
          <w:bCs/>
        </w:rPr>
        <w:t xml:space="preserve">Do </w:t>
      </w:r>
      <w:r w:rsidR="00772E9F">
        <w:rPr>
          <w:b/>
          <w:bCs/>
        </w:rPr>
        <w:t>Not increase the number of Growlers stationed at NAS Whidbey</w:t>
      </w:r>
      <w:r w:rsidR="00772E9F">
        <w:t xml:space="preserve"> until the </w:t>
      </w:r>
      <w:r w:rsidR="00CE3106" w:rsidRPr="00CE3106">
        <w:rPr>
          <w:color w:val="FF0000"/>
        </w:rPr>
        <w:t xml:space="preserve">Final </w:t>
      </w:r>
      <w:r w:rsidR="00772E9F">
        <w:t>Environmental Impact Statement (EIS) is completed and the Record of Decision is published</w:t>
      </w:r>
      <w:r w:rsidR="00CE3106">
        <w:t xml:space="preserve"> </w:t>
      </w:r>
      <w:r w:rsidR="00CE3106" w:rsidRPr="00CE3106">
        <w:rPr>
          <w:color w:val="FF0000"/>
        </w:rPr>
        <w:t>after a full and comprehensive public comment period as allowed by law</w:t>
      </w:r>
      <w:r w:rsidR="00CE3106">
        <w:t>.</w:t>
      </w:r>
      <w:r w:rsidR="003A4524">
        <w:t xml:space="preserve">  </w:t>
      </w:r>
      <w:r w:rsidR="00A75424" w:rsidRPr="00A75424">
        <w:rPr>
          <w:b/>
          <w:color w:val="FF0000"/>
        </w:rPr>
        <w:t>Do NOT allow use of directed energy weapons</w:t>
      </w:r>
      <w:r w:rsidR="00A75424" w:rsidRPr="00A75424">
        <w:rPr>
          <w:color w:val="FF0000"/>
        </w:rPr>
        <w:t xml:space="preserve"> such as lasers, microwaves and other devices, over civilian populated areas or public</w:t>
      </w:r>
      <w:r w:rsidR="00A75424">
        <w:rPr>
          <w:color w:val="FF0000"/>
        </w:rPr>
        <w:t xml:space="preserve"> lands where citizens recreate and could be unknowingly exposed to</w:t>
      </w:r>
      <w:r w:rsidR="003A4524">
        <w:rPr>
          <w:color w:val="FF0000"/>
        </w:rPr>
        <w:t xml:space="preserve"> harmful radiation.  </w:t>
      </w:r>
      <w:r w:rsidR="003A4524" w:rsidRPr="003A4524">
        <w:rPr>
          <w:b/>
          <w:color w:val="FF0000"/>
        </w:rPr>
        <w:t>D</w:t>
      </w:r>
      <w:r w:rsidR="00A75424" w:rsidRPr="003A4524">
        <w:rPr>
          <w:b/>
          <w:color w:val="FF0000"/>
        </w:rPr>
        <w:t>o NOT allow electronic warfare mobile emitters</w:t>
      </w:r>
      <w:r w:rsidR="00A75424">
        <w:rPr>
          <w:color w:val="FF0000"/>
        </w:rPr>
        <w:t xml:space="preserve"> to conduct electronic warfare training on public </w:t>
      </w:r>
      <w:r w:rsidR="003A4524">
        <w:rPr>
          <w:color w:val="FF0000"/>
        </w:rPr>
        <w:t>roads such as the Hood Canal Road, Route 101 and the Hoh River Road, where civilians might</w:t>
      </w:r>
      <w:r w:rsidR="00A75424">
        <w:rPr>
          <w:color w:val="FF0000"/>
        </w:rPr>
        <w:t xml:space="preserve"> be </w:t>
      </w:r>
      <w:r w:rsidR="003A4524">
        <w:rPr>
          <w:color w:val="FF0000"/>
        </w:rPr>
        <w:t xml:space="preserve">unknowingly </w:t>
      </w:r>
      <w:r w:rsidR="00A75424">
        <w:rPr>
          <w:color w:val="FF0000"/>
        </w:rPr>
        <w:t xml:space="preserve">exposed. </w:t>
      </w:r>
    </w:p>
    <w:p w:rsidR="00D97D64" w:rsidRDefault="00772E9F" w:rsidP="00772E9F">
      <w:pPr>
        <w:pStyle w:val="ListParagraph"/>
        <w:numPr>
          <w:ilvl w:val="0"/>
          <w:numId w:val="3"/>
        </w:numPr>
        <w:spacing w:after="60"/>
      </w:pPr>
      <w:r>
        <w:rPr>
          <w:b/>
          <w:bCs/>
        </w:rPr>
        <w:t>Fully consider ALL alternatives</w:t>
      </w:r>
      <w:r>
        <w:t xml:space="preserve"> to basing all Growlers at NAS Whidbey in the ongoing EIS</w:t>
      </w:r>
      <w:r w:rsidR="006B4A93">
        <w:t xml:space="preserve">, </w:t>
      </w:r>
      <w:r w:rsidR="009B4A66">
        <w:t xml:space="preserve">such </w:t>
      </w:r>
      <w:r w:rsidR="006B4A93" w:rsidRPr="00CE3106">
        <w:rPr>
          <w:color w:val="FF0000"/>
        </w:rPr>
        <w:t xml:space="preserve">as the </w:t>
      </w:r>
      <w:r w:rsidR="00CE3106" w:rsidRPr="00CE3106">
        <w:rPr>
          <w:color w:val="FF0000"/>
        </w:rPr>
        <w:t xml:space="preserve">Growler </w:t>
      </w:r>
      <w:r w:rsidR="006B4A93" w:rsidRPr="00CE3106">
        <w:rPr>
          <w:color w:val="FF0000"/>
        </w:rPr>
        <w:t>mission is not here but at Lemoore Naval Air Statio</w:t>
      </w:r>
      <w:r w:rsidR="00CE3106" w:rsidRPr="00CE3106">
        <w:rPr>
          <w:color w:val="FF0000"/>
        </w:rPr>
        <w:t>n in California, conveniently near</w:t>
      </w:r>
      <w:r w:rsidR="006B4A93" w:rsidRPr="00CE3106">
        <w:rPr>
          <w:color w:val="FF0000"/>
        </w:rPr>
        <w:t xml:space="preserve"> the </w:t>
      </w:r>
      <w:r w:rsidR="00CE3106" w:rsidRPr="00CE3106">
        <w:rPr>
          <w:color w:val="FF0000"/>
        </w:rPr>
        <w:t>Naval Air Base at Fallon, Nevada, which uses lands already owned by the Department of Defense</w:t>
      </w:r>
      <w:r>
        <w:t>.</w:t>
      </w:r>
    </w:p>
    <w:p w:rsidR="0017180F" w:rsidRDefault="006B4A93" w:rsidP="00772E9F">
      <w:pPr>
        <w:pStyle w:val="ListParagraph"/>
        <w:numPr>
          <w:ilvl w:val="0"/>
          <w:numId w:val="3"/>
        </w:numPr>
        <w:spacing w:after="60"/>
        <w:rPr>
          <w:bCs/>
          <w:color w:val="FF0000"/>
        </w:rPr>
      </w:pPr>
      <w:r>
        <w:rPr>
          <w:rFonts w:asciiTheme="minorHAnsi" w:hAnsiTheme="minorHAnsi"/>
          <w:b/>
        </w:rPr>
        <w:t xml:space="preserve"> </w:t>
      </w:r>
      <w:r w:rsidR="00CE3106" w:rsidRPr="0017180F">
        <w:rPr>
          <w:rFonts w:asciiTheme="minorHAnsi" w:hAnsiTheme="minorHAnsi"/>
          <w:b/>
          <w:color w:val="FF0000"/>
        </w:rPr>
        <w:t xml:space="preserve">Require that similar marine species protections that were enacted </w:t>
      </w:r>
      <w:r w:rsidR="00CE3106" w:rsidRPr="0017180F">
        <w:rPr>
          <w:rFonts w:asciiTheme="minorHAnsi" w:hAnsiTheme="minorHAnsi"/>
          <w:color w:val="FF0000"/>
        </w:rPr>
        <w:t>for the Hawaiian and Southern California ranges be extended for all marine mammal species in Northwest Washington</w:t>
      </w:r>
      <w:r w:rsidR="00CE3106" w:rsidRPr="0017180F">
        <w:rPr>
          <w:b/>
          <w:bCs/>
          <w:color w:val="FF0000"/>
        </w:rPr>
        <w:t xml:space="preserve">, </w:t>
      </w:r>
      <w:r w:rsidR="00CE3106" w:rsidRPr="0017180F">
        <w:rPr>
          <w:bCs/>
          <w:color w:val="FF0000"/>
        </w:rPr>
        <w:t>and that the timing and location of training of at-sea training not be during peak times of animal activity in migratory corridors and feeding/nursing areas.</w:t>
      </w:r>
      <w:r w:rsidR="0017180F" w:rsidRPr="0017180F">
        <w:rPr>
          <w:bCs/>
          <w:color w:val="FF0000"/>
        </w:rPr>
        <w:t xml:space="preserve"> Require that independent observers accompany all Navy vessels for the duration of any and all training exercises.</w:t>
      </w:r>
    </w:p>
    <w:p w:rsidR="0088776F" w:rsidRPr="0088776F" w:rsidRDefault="0088776F" w:rsidP="00772E9F">
      <w:pPr>
        <w:pStyle w:val="ListParagraph"/>
        <w:numPr>
          <w:ilvl w:val="0"/>
          <w:numId w:val="3"/>
        </w:numPr>
        <w:spacing w:after="60"/>
        <w:rPr>
          <w:bCs/>
          <w:color w:val="FF0000"/>
        </w:rPr>
      </w:pPr>
      <w:r>
        <w:rPr>
          <w:bCs/>
          <w:color w:val="FF0000"/>
        </w:rPr>
        <w:t xml:space="preserve"> </w:t>
      </w:r>
      <w:r w:rsidRPr="0088776F">
        <w:rPr>
          <w:b/>
          <w:bCs/>
          <w:color w:val="FF0000"/>
        </w:rPr>
        <w:t xml:space="preserve">Do not commence </w:t>
      </w:r>
      <w:r>
        <w:rPr>
          <w:b/>
          <w:bCs/>
          <w:color w:val="FF0000"/>
        </w:rPr>
        <w:t xml:space="preserve">seagoing </w:t>
      </w:r>
      <w:r w:rsidRPr="0088776F">
        <w:rPr>
          <w:b/>
          <w:bCs/>
          <w:color w:val="FF0000"/>
        </w:rPr>
        <w:t>activities until</w:t>
      </w:r>
      <w:r>
        <w:rPr>
          <w:bCs/>
          <w:color w:val="FF0000"/>
        </w:rPr>
        <w:t xml:space="preserve"> the legally mandated endangered species consultation with the US Fish and Wildlife Service has been completed and disclosed to the public, along with the permit required by law for incidental take of endangered birds and fish, and until the legally mandated consultation with the State of Washington on cultural and historic properties, that was prematurely terminated by the Navy in November 2015</w:t>
      </w:r>
      <w:r w:rsidR="001234E7">
        <w:rPr>
          <w:bCs/>
          <w:color w:val="FF0000"/>
        </w:rPr>
        <w:t xml:space="preserve"> despite a written request from the President’s Advisory Council on Historic Preservation</w:t>
      </w:r>
      <w:r>
        <w:rPr>
          <w:bCs/>
          <w:color w:val="FF0000"/>
        </w:rPr>
        <w:t>, is completed to the satisfaction of the State Historic Preservation Officer.</w:t>
      </w:r>
    </w:p>
    <w:p w:rsidR="00772E9F" w:rsidRPr="006B4A93" w:rsidRDefault="00772E9F" w:rsidP="00772E9F">
      <w:pPr>
        <w:pStyle w:val="ListParagraph"/>
        <w:spacing w:after="60"/>
        <w:ind w:left="0"/>
        <w:rPr>
          <w:b/>
          <w:bCs/>
        </w:rPr>
      </w:pPr>
    </w:p>
    <w:p w:rsidR="00772E9F" w:rsidRDefault="00772E9F" w:rsidP="0017180F">
      <w:pPr>
        <w:pStyle w:val="ListParagraph"/>
        <w:spacing w:after="60"/>
        <w:ind w:left="0"/>
      </w:pPr>
      <w:r>
        <w:rPr>
          <w:b/>
          <w:bCs/>
        </w:rPr>
        <w:lastRenderedPageBreak/>
        <w:t>THEREFORE BE IT FURTHER RESOLVED</w:t>
      </w:r>
      <w:r>
        <w:t xml:space="preserve"> that a copy of this resolution shall be</w:t>
      </w:r>
      <w:r w:rsidR="0017180F">
        <w:t xml:space="preserve"> </w:t>
      </w:r>
      <w:r>
        <w:t>transmitted to the Washington State Congressional Delegation along with a request for response within thirty days, listing the actions they are willing to take to support this resolution</w:t>
      </w:r>
      <w:r w:rsidR="0017180F">
        <w:t>,</w:t>
      </w:r>
      <w:r>
        <w:t xml:space="preserve"> or a list of the reasons explaining why it cannot be supported.</w:t>
      </w:r>
    </w:p>
    <w:p w:rsidR="00772E9F" w:rsidRDefault="00772E9F" w:rsidP="00772E9F">
      <w:pPr>
        <w:pStyle w:val="ListParagraph"/>
        <w:widowControl w:val="0"/>
        <w:ind w:left="0"/>
      </w:pPr>
    </w:p>
    <w:p w:rsidR="00772E9F" w:rsidRDefault="00772E9F" w:rsidP="00772E9F">
      <w:pPr>
        <w:pStyle w:val="Body"/>
        <w:widowControl w:val="0"/>
        <w:rPr>
          <w:rFonts w:ascii="Times New Roman" w:eastAsia="Times New Roman" w:hAnsi="Times New Roman" w:cs="Times New Roman"/>
        </w:rPr>
      </w:pPr>
    </w:p>
    <w:p w:rsidR="00772E9F" w:rsidRDefault="00772E9F" w:rsidP="00772E9F">
      <w:pPr>
        <w:pStyle w:val="Body"/>
        <w:widowControl w:val="0"/>
      </w:pPr>
      <w:r>
        <w:t>Submitted by XXXXXXXX to the San Juan County Democrats for consideration at the</w:t>
      </w:r>
    </w:p>
    <w:p w:rsidR="00772E9F" w:rsidRDefault="00772E9F" w:rsidP="00772E9F">
      <w:pPr>
        <w:pStyle w:val="ListParagraph"/>
        <w:widowControl w:val="0"/>
        <w:tabs>
          <w:tab w:val="left" w:pos="1800"/>
        </w:tabs>
        <w:ind w:left="0"/>
      </w:pPr>
      <w:r>
        <w:t>San Juan County Democratic Convention to be held on May 1, 2016 in Friday Harbor.</w:t>
      </w:r>
    </w:p>
    <w:p w:rsidR="00772E9F" w:rsidRDefault="00772E9F" w:rsidP="00772E9F">
      <w:pPr>
        <w:pStyle w:val="ListParagraph"/>
        <w:widowControl w:val="0"/>
        <w:tabs>
          <w:tab w:val="left" w:pos="1800"/>
        </w:tabs>
        <w:ind w:left="0"/>
        <w:rPr>
          <w:rFonts w:ascii="Times New Roman" w:eastAsia="Times New Roman" w:hAnsi="Times New Roman" w:cs="Times New Roman"/>
        </w:rPr>
      </w:pPr>
    </w:p>
    <w:p w:rsidR="00772E9F" w:rsidRDefault="00772E9F" w:rsidP="00772E9F">
      <w:pPr>
        <w:pStyle w:val="ListParagraph"/>
        <w:widowControl w:val="0"/>
        <w:tabs>
          <w:tab w:val="left" w:pos="1800"/>
        </w:tabs>
        <w:ind w:left="0"/>
        <w:rPr>
          <w:rFonts w:ascii="Times New Roman" w:eastAsia="Times New Roman" w:hAnsi="Times New Roman" w:cs="Times New Roman"/>
        </w:rPr>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13"/>
        <w:gridCol w:w="1111"/>
        <w:gridCol w:w="1538"/>
        <w:gridCol w:w="1487"/>
        <w:gridCol w:w="1589"/>
        <w:gridCol w:w="684"/>
        <w:gridCol w:w="958"/>
      </w:tblGrid>
      <w:tr w:rsidR="00772E9F">
        <w:trPr>
          <w:trHeight w:val="325"/>
        </w:trPr>
        <w:tc>
          <w:tcPr>
            <w:tcW w:w="1812" w:type="dxa"/>
            <w:tcBorders>
              <w:top w:val="single" w:sz="24" w:space="0" w:color="000000"/>
              <w:left w:val="single" w:sz="24" w:space="0" w:color="000000"/>
              <w:bottom w:val="single" w:sz="4" w:space="0" w:color="000000"/>
              <w:right w:val="single" w:sz="4" w:space="0" w:color="000000"/>
            </w:tcBorders>
            <w:shd w:val="clear" w:color="auto" w:fill="C6D9F1"/>
            <w:tcMar>
              <w:top w:w="80" w:type="dxa"/>
              <w:left w:w="80" w:type="dxa"/>
              <w:bottom w:w="80" w:type="dxa"/>
              <w:right w:w="80" w:type="dxa"/>
            </w:tcMar>
          </w:tcPr>
          <w:p w:rsidR="00772E9F" w:rsidRDefault="00772E9F">
            <w:pPr>
              <w:pStyle w:val="ListParagraph"/>
              <w:widowControl w:val="0"/>
              <w:tabs>
                <w:tab w:val="left" w:pos="1800"/>
              </w:tabs>
              <w:ind w:left="0"/>
            </w:pPr>
            <w:r>
              <w:rPr>
                <w:rFonts w:ascii="Times New Roman" w:hAnsi="Times New Roman"/>
              </w:rPr>
              <w:t>Name</w:t>
            </w:r>
          </w:p>
        </w:tc>
        <w:tc>
          <w:tcPr>
            <w:tcW w:w="7367" w:type="dxa"/>
            <w:gridSpan w:val="6"/>
            <w:tcBorders>
              <w:top w:val="single" w:sz="2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rsidR="00772E9F" w:rsidRDefault="00772E9F"/>
        </w:tc>
      </w:tr>
      <w:tr w:rsidR="00772E9F">
        <w:trPr>
          <w:trHeight w:val="388"/>
        </w:trPr>
        <w:tc>
          <w:tcPr>
            <w:tcW w:w="1812" w:type="dxa"/>
            <w:tcBorders>
              <w:top w:val="single" w:sz="4" w:space="0" w:color="000000"/>
              <w:left w:val="single" w:sz="24" w:space="0" w:color="000000"/>
              <w:bottom w:val="single" w:sz="4" w:space="0" w:color="000000"/>
              <w:right w:val="single" w:sz="4" w:space="0" w:color="000000"/>
            </w:tcBorders>
            <w:shd w:val="clear" w:color="auto" w:fill="C6D9F1"/>
            <w:tcMar>
              <w:top w:w="80" w:type="dxa"/>
              <w:left w:w="80" w:type="dxa"/>
              <w:bottom w:w="80" w:type="dxa"/>
              <w:right w:w="80" w:type="dxa"/>
            </w:tcMar>
          </w:tcPr>
          <w:p w:rsidR="00772E9F" w:rsidRDefault="00772E9F">
            <w:pPr>
              <w:pStyle w:val="ListParagraph"/>
              <w:widowControl w:val="0"/>
              <w:tabs>
                <w:tab w:val="left" w:pos="1800"/>
              </w:tabs>
              <w:ind w:left="0"/>
            </w:pPr>
            <w:r>
              <w:rPr>
                <w:rFonts w:ascii="Times New Roman" w:hAnsi="Times New Roman"/>
              </w:rPr>
              <w:t>Signature</w:t>
            </w:r>
          </w:p>
        </w:tc>
        <w:tc>
          <w:tcPr>
            <w:tcW w:w="7367" w:type="dxa"/>
            <w:gridSpan w:val="6"/>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rsidR="00772E9F" w:rsidRDefault="00772E9F"/>
        </w:tc>
      </w:tr>
      <w:tr w:rsidR="00772E9F">
        <w:trPr>
          <w:trHeight w:val="600"/>
        </w:trPr>
        <w:tc>
          <w:tcPr>
            <w:tcW w:w="1812" w:type="dxa"/>
            <w:tcBorders>
              <w:top w:val="single" w:sz="4" w:space="0" w:color="000000"/>
              <w:left w:val="single" w:sz="24" w:space="0" w:color="000000"/>
              <w:bottom w:val="single" w:sz="4" w:space="0" w:color="000000"/>
              <w:right w:val="single" w:sz="4" w:space="0" w:color="000000"/>
            </w:tcBorders>
            <w:shd w:val="clear" w:color="auto" w:fill="C6D9F1"/>
            <w:tcMar>
              <w:top w:w="80" w:type="dxa"/>
              <w:left w:w="80" w:type="dxa"/>
              <w:bottom w:w="80" w:type="dxa"/>
              <w:right w:w="80" w:type="dxa"/>
            </w:tcMar>
          </w:tcPr>
          <w:p w:rsidR="00772E9F" w:rsidRDefault="00772E9F">
            <w:pPr>
              <w:pStyle w:val="ListParagraph"/>
              <w:widowControl w:val="0"/>
              <w:tabs>
                <w:tab w:val="left" w:pos="1800"/>
              </w:tabs>
              <w:ind w:left="0"/>
            </w:pPr>
            <w:r>
              <w:rPr>
                <w:rFonts w:ascii="Times New Roman" w:hAnsi="Times New Roman"/>
              </w:rPr>
              <w:t>Congressional District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E9F" w:rsidRDefault="00772E9F">
            <w:pPr>
              <w:pStyle w:val="ListParagraph"/>
              <w:widowControl w:val="0"/>
              <w:tabs>
                <w:tab w:val="left" w:pos="1800"/>
              </w:tabs>
              <w:ind w:left="0"/>
            </w:pPr>
            <w:r>
              <w:rPr>
                <w:rFonts w:ascii="Times New Roman" w:hAnsi="Times New Roman"/>
              </w:rPr>
              <w:t>2</w:t>
            </w:r>
          </w:p>
        </w:tc>
        <w:tc>
          <w:tcPr>
            <w:tcW w:w="153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772E9F" w:rsidRDefault="00772E9F">
            <w:pPr>
              <w:pStyle w:val="ListParagraph"/>
              <w:widowControl w:val="0"/>
              <w:tabs>
                <w:tab w:val="left" w:pos="1800"/>
              </w:tabs>
              <w:ind w:left="0"/>
            </w:pPr>
            <w:r>
              <w:rPr>
                <w:rFonts w:ascii="Times New Roman" w:hAnsi="Times New Roman"/>
              </w:rPr>
              <w:t>County</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E9F" w:rsidRDefault="00772E9F">
            <w:pPr>
              <w:pStyle w:val="ListParagraph"/>
              <w:widowControl w:val="0"/>
              <w:tabs>
                <w:tab w:val="left" w:pos="1800"/>
              </w:tabs>
              <w:ind w:left="0"/>
            </w:pPr>
            <w:r>
              <w:rPr>
                <w:rFonts w:ascii="Times New Roman" w:hAnsi="Times New Roman"/>
              </w:rPr>
              <w:t>San Juan</w:t>
            </w:r>
          </w:p>
        </w:tc>
        <w:tc>
          <w:tcPr>
            <w:tcW w:w="158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772E9F" w:rsidRDefault="00772E9F">
            <w:pPr>
              <w:pStyle w:val="ListParagraph"/>
              <w:widowControl w:val="0"/>
              <w:tabs>
                <w:tab w:val="left" w:pos="1800"/>
              </w:tabs>
              <w:ind w:left="0"/>
              <w:rPr>
                <w:rFonts w:ascii="Times New Roman" w:eastAsia="Times New Roman" w:hAnsi="Times New Roman" w:cs="Times New Roman"/>
              </w:rPr>
            </w:pPr>
            <w:r>
              <w:rPr>
                <w:rFonts w:ascii="Times New Roman" w:hAnsi="Times New Roman"/>
              </w:rPr>
              <w:t>Legislative</w:t>
            </w:r>
          </w:p>
          <w:p w:rsidR="00772E9F" w:rsidRDefault="00772E9F">
            <w:pPr>
              <w:pStyle w:val="ListParagraph"/>
              <w:widowControl w:val="0"/>
              <w:tabs>
                <w:tab w:val="left" w:pos="1800"/>
              </w:tabs>
              <w:ind w:left="0"/>
            </w:pPr>
            <w:r>
              <w:rPr>
                <w:rFonts w:ascii="Times New Roman" w:hAnsi="Times New Roman"/>
              </w:rPr>
              <w:t xml:space="preserve"> District</w:t>
            </w:r>
          </w:p>
        </w:tc>
        <w:tc>
          <w:tcPr>
            <w:tcW w:w="1641" w:type="dxa"/>
            <w:gridSpan w:val="2"/>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rsidR="00772E9F" w:rsidRDefault="00772E9F">
            <w:pPr>
              <w:pStyle w:val="ListParagraph"/>
              <w:widowControl w:val="0"/>
              <w:tabs>
                <w:tab w:val="left" w:pos="1800"/>
              </w:tabs>
              <w:ind w:left="0"/>
            </w:pPr>
            <w:r>
              <w:rPr>
                <w:rFonts w:ascii="Times New Roman" w:hAnsi="Times New Roman"/>
              </w:rPr>
              <w:t>40</w:t>
            </w:r>
          </w:p>
        </w:tc>
      </w:tr>
      <w:tr w:rsidR="00772E9F">
        <w:trPr>
          <w:trHeight w:val="600"/>
        </w:trPr>
        <w:tc>
          <w:tcPr>
            <w:tcW w:w="1812" w:type="dxa"/>
            <w:tcBorders>
              <w:top w:val="single" w:sz="4" w:space="0" w:color="000000"/>
              <w:left w:val="single" w:sz="24" w:space="0" w:color="000000"/>
              <w:bottom w:val="single" w:sz="4" w:space="0" w:color="000000"/>
              <w:right w:val="single" w:sz="4" w:space="0" w:color="000000"/>
            </w:tcBorders>
            <w:shd w:val="clear" w:color="auto" w:fill="C6D9F1"/>
            <w:tcMar>
              <w:top w:w="80" w:type="dxa"/>
              <w:left w:w="80" w:type="dxa"/>
              <w:bottom w:w="80" w:type="dxa"/>
              <w:right w:w="80" w:type="dxa"/>
            </w:tcMar>
          </w:tcPr>
          <w:p w:rsidR="00772E9F" w:rsidRDefault="00772E9F">
            <w:pPr>
              <w:pStyle w:val="ListParagraph"/>
              <w:widowControl w:val="0"/>
              <w:tabs>
                <w:tab w:val="left" w:pos="1800"/>
              </w:tabs>
              <w:ind w:left="0"/>
            </w:pPr>
            <w:r>
              <w:rPr>
                <w:rFonts w:ascii="Times New Roman" w:hAnsi="Times New Roman"/>
              </w:rPr>
              <w:t>Home Phone</w:t>
            </w: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2E9F" w:rsidRDefault="00772E9F">
            <w:pPr>
              <w:pStyle w:val="ListParagraph"/>
              <w:widowControl w:val="0"/>
              <w:tabs>
                <w:tab w:val="left" w:pos="1800"/>
              </w:tabs>
              <w:ind w:left="0"/>
            </w:pPr>
            <w:r>
              <w:rPr>
                <w:rFonts w:ascii="Times New Roman" w:hAnsi="Times New Roman"/>
              </w:rPr>
              <w:t>(360) xxx-</w:t>
            </w:r>
            <w:proofErr w:type="spellStart"/>
            <w:r>
              <w:rPr>
                <w:rFonts w:ascii="Times New Roman" w:hAnsi="Times New Roman"/>
              </w:rPr>
              <w:t>xxxx</w:t>
            </w:r>
            <w:proofErr w:type="spellEnd"/>
          </w:p>
        </w:tc>
        <w:tc>
          <w:tcPr>
            <w:tcW w:w="1487"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772E9F" w:rsidRDefault="00772E9F">
            <w:pPr>
              <w:pStyle w:val="ListParagraph"/>
              <w:widowControl w:val="0"/>
              <w:tabs>
                <w:tab w:val="left" w:pos="1800"/>
              </w:tabs>
              <w:ind w:left="0"/>
            </w:pPr>
            <w:r>
              <w:rPr>
                <w:rFonts w:ascii="Times New Roman" w:hAnsi="Times New Roman"/>
              </w:rPr>
              <w:t>Mobile Phone</w:t>
            </w:r>
          </w:p>
        </w:tc>
        <w:tc>
          <w:tcPr>
            <w:tcW w:w="3230" w:type="dxa"/>
            <w:gridSpan w:val="3"/>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rsidR="00772E9F" w:rsidRDefault="00772E9F"/>
        </w:tc>
      </w:tr>
      <w:tr w:rsidR="00772E9F">
        <w:trPr>
          <w:trHeight w:val="300"/>
        </w:trPr>
        <w:tc>
          <w:tcPr>
            <w:tcW w:w="1812" w:type="dxa"/>
            <w:tcBorders>
              <w:top w:val="single" w:sz="4" w:space="0" w:color="000000"/>
              <w:left w:val="single" w:sz="24" w:space="0" w:color="000000"/>
              <w:bottom w:val="single" w:sz="4" w:space="0" w:color="000000"/>
              <w:right w:val="single" w:sz="4" w:space="0" w:color="000000"/>
            </w:tcBorders>
            <w:shd w:val="clear" w:color="auto" w:fill="C6D9F1"/>
            <w:tcMar>
              <w:top w:w="80" w:type="dxa"/>
              <w:left w:w="80" w:type="dxa"/>
              <w:bottom w:w="80" w:type="dxa"/>
              <w:right w:w="80" w:type="dxa"/>
            </w:tcMar>
          </w:tcPr>
          <w:p w:rsidR="00772E9F" w:rsidRDefault="00772E9F">
            <w:pPr>
              <w:pStyle w:val="ListParagraph"/>
              <w:widowControl w:val="0"/>
              <w:tabs>
                <w:tab w:val="left" w:pos="1800"/>
              </w:tabs>
              <w:ind w:left="0"/>
            </w:pPr>
            <w:r>
              <w:rPr>
                <w:rFonts w:ascii="Times New Roman" w:hAnsi="Times New Roman"/>
              </w:rPr>
              <w:t>Email Address</w:t>
            </w:r>
          </w:p>
        </w:tc>
        <w:tc>
          <w:tcPr>
            <w:tcW w:w="7367" w:type="dxa"/>
            <w:gridSpan w:val="6"/>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rsidR="00772E9F" w:rsidRDefault="00772E9F"/>
        </w:tc>
      </w:tr>
      <w:tr w:rsidR="00772E9F">
        <w:trPr>
          <w:trHeight w:val="300"/>
        </w:trPr>
        <w:tc>
          <w:tcPr>
            <w:tcW w:w="1812" w:type="dxa"/>
            <w:tcBorders>
              <w:top w:val="single" w:sz="4" w:space="0" w:color="000000"/>
              <w:left w:val="single" w:sz="24" w:space="0" w:color="000000"/>
              <w:bottom w:val="single" w:sz="4" w:space="0" w:color="000000"/>
              <w:right w:val="single" w:sz="4" w:space="0" w:color="000000"/>
            </w:tcBorders>
            <w:shd w:val="clear" w:color="auto" w:fill="C6D9F1"/>
            <w:tcMar>
              <w:top w:w="80" w:type="dxa"/>
              <w:left w:w="80" w:type="dxa"/>
              <w:bottom w:w="80" w:type="dxa"/>
              <w:right w:w="80" w:type="dxa"/>
            </w:tcMar>
          </w:tcPr>
          <w:p w:rsidR="00772E9F" w:rsidRDefault="00772E9F">
            <w:pPr>
              <w:pStyle w:val="ListParagraph"/>
              <w:widowControl w:val="0"/>
              <w:tabs>
                <w:tab w:val="left" w:pos="1800"/>
              </w:tabs>
              <w:ind w:left="0"/>
            </w:pPr>
            <w:r>
              <w:rPr>
                <w:rFonts w:ascii="Times New Roman" w:hAnsi="Times New Roman"/>
              </w:rPr>
              <w:t>Address</w:t>
            </w:r>
          </w:p>
        </w:tc>
        <w:tc>
          <w:tcPr>
            <w:tcW w:w="7367" w:type="dxa"/>
            <w:gridSpan w:val="6"/>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rsidR="00772E9F" w:rsidRDefault="00772E9F"/>
        </w:tc>
      </w:tr>
      <w:tr w:rsidR="00772E9F">
        <w:trPr>
          <w:trHeight w:val="325"/>
        </w:trPr>
        <w:tc>
          <w:tcPr>
            <w:tcW w:w="1812" w:type="dxa"/>
            <w:tcBorders>
              <w:top w:val="single" w:sz="4" w:space="0" w:color="000000"/>
              <w:left w:val="single" w:sz="24" w:space="0" w:color="000000"/>
              <w:bottom w:val="single" w:sz="24" w:space="0" w:color="000000"/>
              <w:right w:val="single" w:sz="4" w:space="0" w:color="000000"/>
            </w:tcBorders>
            <w:shd w:val="clear" w:color="auto" w:fill="C6D9F1"/>
            <w:tcMar>
              <w:top w:w="80" w:type="dxa"/>
              <w:left w:w="80" w:type="dxa"/>
              <w:bottom w:w="80" w:type="dxa"/>
              <w:right w:w="80" w:type="dxa"/>
            </w:tcMar>
          </w:tcPr>
          <w:p w:rsidR="00772E9F" w:rsidRDefault="00772E9F">
            <w:pPr>
              <w:pStyle w:val="ListParagraph"/>
              <w:widowControl w:val="0"/>
              <w:tabs>
                <w:tab w:val="left" w:pos="1800"/>
              </w:tabs>
              <w:ind w:left="0"/>
            </w:pPr>
            <w:r>
              <w:rPr>
                <w:rFonts w:ascii="Times New Roman" w:hAnsi="Times New Roman"/>
              </w:rPr>
              <w:t>City</w:t>
            </w:r>
          </w:p>
        </w:tc>
        <w:tc>
          <w:tcPr>
            <w:tcW w:w="4136" w:type="dxa"/>
            <w:gridSpan w:val="3"/>
            <w:tcBorders>
              <w:top w:val="single" w:sz="4" w:space="0" w:color="000000"/>
              <w:left w:val="single" w:sz="4" w:space="0" w:color="000000"/>
              <w:bottom w:val="single" w:sz="24" w:space="0" w:color="000000"/>
              <w:right w:val="single" w:sz="4" w:space="0" w:color="000000"/>
            </w:tcBorders>
            <w:shd w:val="clear" w:color="auto" w:fill="auto"/>
            <w:tcMar>
              <w:top w:w="80" w:type="dxa"/>
              <w:left w:w="80" w:type="dxa"/>
              <w:bottom w:w="80" w:type="dxa"/>
              <w:right w:w="80" w:type="dxa"/>
            </w:tcMar>
          </w:tcPr>
          <w:p w:rsidR="00772E9F" w:rsidRDefault="00772E9F">
            <w:pPr>
              <w:pStyle w:val="ListParagraph"/>
              <w:widowControl w:val="0"/>
              <w:tabs>
                <w:tab w:val="left" w:pos="1800"/>
              </w:tabs>
              <w:ind w:left="0"/>
            </w:pPr>
            <w:r>
              <w:rPr>
                <w:rFonts w:ascii="Times New Roman" w:hAnsi="Times New Roman"/>
              </w:rPr>
              <w:t>Lopez Island</w:t>
            </w:r>
          </w:p>
        </w:tc>
        <w:tc>
          <w:tcPr>
            <w:tcW w:w="2273" w:type="dxa"/>
            <w:gridSpan w:val="2"/>
            <w:tcBorders>
              <w:top w:val="single" w:sz="4" w:space="0" w:color="000000"/>
              <w:left w:val="single" w:sz="4" w:space="0" w:color="000000"/>
              <w:bottom w:val="single" w:sz="24" w:space="0" w:color="000000"/>
              <w:right w:val="single" w:sz="4" w:space="0" w:color="000000"/>
            </w:tcBorders>
            <w:shd w:val="clear" w:color="auto" w:fill="C6D9F1"/>
            <w:tcMar>
              <w:top w:w="80" w:type="dxa"/>
              <w:left w:w="80" w:type="dxa"/>
              <w:bottom w:w="80" w:type="dxa"/>
              <w:right w:w="80" w:type="dxa"/>
            </w:tcMar>
          </w:tcPr>
          <w:p w:rsidR="00772E9F" w:rsidRDefault="00772E9F">
            <w:pPr>
              <w:pStyle w:val="ListParagraph"/>
              <w:widowControl w:val="0"/>
              <w:tabs>
                <w:tab w:val="left" w:pos="1800"/>
              </w:tabs>
              <w:ind w:left="0"/>
            </w:pPr>
            <w:r>
              <w:rPr>
                <w:rFonts w:ascii="Times New Roman" w:hAnsi="Times New Roman"/>
              </w:rPr>
              <w:t>Zip Code</w:t>
            </w:r>
          </w:p>
        </w:tc>
        <w:tc>
          <w:tcPr>
            <w:tcW w:w="957" w:type="dxa"/>
            <w:tcBorders>
              <w:top w:val="single" w:sz="4"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rsidR="00772E9F" w:rsidRDefault="00772E9F">
            <w:pPr>
              <w:pStyle w:val="ListParagraph"/>
              <w:widowControl w:val="0"/>
              <w:tabs>
                <w:tab w:val="left" w:pos="1800"/>
              </w:tabs>
              <w:ind w:left="0"/>
            </w:pPr>
            <w:r>
              <w:rPr>
                <w:rFonts w:ascii="Times New Roman" w:hAnsi="Times New Roman"/>
              </w:rPr>
              <w:t>98261</w:t>
            </w:r>
          </w:p>
        </w:tc>
      </w:tr>
    </w:tbl>
    <w:p w:rsidR="00772E9F" w:rsidRDefault="00772E9F" w:rsidP="00772E9F">
      <w:pPr>
        <w:pStyle w:val="ListParagraph"/>
        <w:widowControl w:val="0"/>
        <w:tabs>
          <w:tab w:val="left" w:pos="1800"/>
        </w:tabs>
        <w:ind w:left="0"/>
        <w:rPr>
          <w:rFonts w:ascii="Times New Roman" w:eastAsia="Times New Roman" w:hAnsi="Times New Roman" w:cs="Times New Roman"/>
        </w:rPr>
      </w:pPr>
    </w:p>
    <w:p w:rsidR="00772E9F" w:rsidRDefault="00772E9F" w:rsidP="00772E9F">
      <w:pPr>
        <w:pStyle w:val="ListParagraph"/>
        <w:widowControl w:val="0"/>
        <w:ind w:left="0"/>
      </w:pPr>
    </w:p>
    <w:p w:rsidR="009428A3" w:rsidRPr="004103C7" w:rsidRDefault="009428A3" w:rsidP="009428A3">
      <w:pPr>
        <w:pStyle w:val="ListParagraph"/>
        <w:widowControl w:val="0"/>
        <w:ind w:left="0"/>
        <w:rPr>
          <w:rFonts w:ascii="Times New Roman" w:eastAsia="Times New Roman" w:hAnsi="Times New Roman" w:cs="Times New Roman"/>
          <w:b/>
        </w:rPr>
      </w:pPr>
      <w:r w:rsidRPr="004103C7">
        <w:rPr>
          <w:rFonts w:ascii="Times New Roman" w:eastAsia="Times New Roman" w:hAnsi="Times New Roman" w:cs="Times New Roman"/>
          <w:b/>
        </w:rPr>
        <w:t>APPENDIX:</w:t>
      </w:r>
    </w:p>
    <w:p w:rsidR="009428A3" w:rsidRDefault="009428A3" w:rsidP="009428A3">
      <w:pPr>
        <w:pStyle w:val="ListParagraph"/>
        <w:widowControl w:val="0"/>
        <w:ind w:left="0"/>
        <w:rPr>
          <w:rFonts w:ascii="Times New Roman" w:eastAsia="Times New Roman" w:hAnsi="Times New Roman" w:cs="Times New Roman"/>
        </w:rPr>
      </w:pPr>
    </w:p>
    <w:p w:rsidR="009428A3" w:rsidRDefault="009428A3" w:rsidP="009428A3">
      <w:pPr>
        <w:pStyle w:val="ListParagraph"/>
        <w:widowControl w:val="0"/>
        <w:ind w:left="0"/>
        <w:rPr>
          <w:rFonts w:ascii="Times New Roman" w:eastAsia="Times New Roman" w:hAnsi="Times New Roman" w:cs="Times New Roman"/>
        </w:rPr>
      </w:pPr>
      <w:r w:rsidRPr="004103C7">
        <w:rPr>
          <w:rFonts w:ascii="Times New Roman" w:eastAsia="Times New Roman" w:hAnsi="Times New Roman" w:cs="Times New Roman"/>
          <w:b/>
        </w:rPr>
        <w:t>1.</w:t>
      </w:r>
      <w:r>
        <w:rPr>
          <w:rFonts w:ascii="Times New Roman" w:eastAsia="Times New Roman" w:hAnsi="Times New Roman" w:cs="Times New Roman"/>
        </w:rPr>
        <w:t xml:space="preserve"> </w:t>
      </w:r>
      <w:hyperlink r:id="rId6" w:history="1">
        <w:r w:rsidRPr="00843096">
          <w:rPr>
            <w:rStyle w:val="Hyperlink"/>
            <w:rFonts w:ascii="Times New Roman" w:eastAsia="Times New Roman" w:hAnsi="Times New Roman" w:cs="Times New Roman"/>
          </w:rPr>
          <w:t>http://westcoastactionalliance.org/facts-about-increased-navy-activity-in-the-pacific</w:t>
        </w:r>
      </w:hyperlink>
    </w:p>
    <w:p w:rsidR="009428A3" w:rsidRDefault="009428A3" w:rsidP="009428A3">
      <w:pPr>
        <w:pStyle w:val="ListParagraph"/>
        <w:widowControl w:val="0"/>
        <w:ind w:left="0"/>
        <w:rPr>
          <w:sz w:val="22"/>
        </w:rPr>
      </w:pPr>
      <w:r>
        <w:rPr>
          <w:rFonts w:ascii="Times New Roman" w:eastAsia="Times New Roman" w:hAnsi="Times New Roman" w:cs="Times New Roman"/>
        </w:rPr>
        <w:t xml:space="preserve">Includes a map of the Northwest Testing and Training Range, a </w:t>
      </w:r>
      <w:r w:rsidRPr="005A4759">
        <w:rPr>
          <w:rStyle w:val="Strong"/>
          <w:sz w:val="22"/>
        </w:rPr>
        <w:t>baseline to proposed numbers</w:t>
      </w:r>
      <w:r w:rsidRPr="005A4759">
        <w:rPr>
          <w:sz w:val="22"/>
        </w:rPr>
        <w:t xml:space="preserve"> of activities listed in the October 2015 EIS</w:t>
      </w:r>
      <w:r>
        <w:rPr>
          <w:sz w:val="22"/>
        </w:rPr>
        <w:t>, data and definition of  Takes”, and “</w:t>
      </w:r>
      <w:r w:rsidRPr="005A4759">
        <w:rPr>
          <w:sz w:val="22"/>
        </w:rPr>
        <w:t>Takes</w:t>
      </w:r>
      <w:r>
        <w:rPr>
          <w:sz w:val="22"/>
        </w:rPr>
        <w:t>"</w:t>
      </w:r>
      <w:r w:rsidRPr="005A4759">
        <w:rPr>
          <w:sz w:val="22"/>
        </w:rPr>
        <w:t xml:space="preserve"> broken down by individual species and regions</w:t>
      </w:r>
      <w:r>
        <w:rPr>
          <w:sz w:val="22"/>
        </w:rPr>
        <w:t xml:space="preserve">, </w:t>
      </w:r>
    </w:p>
    <w:p w:rsidR="009428A3" w:rsidRDefault="009428A3" w:rsidP="009428A3">
      <w:pPr>
        <w:pStyle w:val="ListParagraph"/>
        <w:widowControl w:val="0"/>
        <w:ind w:left="0"/>
        <w:rPr>
          <w:sz w:val="22"/>
        </w:rPr>
      </w:pPr>
    </w:p>
    <w:p w:rsidR="009428A3" w:rsidRDefault="009428A3" w:rsidP="009428A3">
      <w:pPr>
        <w:pStyle w:val="ListParagraph"/>
        <w:widowControl w:val="0"/>
        <w:ind w:left="0"/>
        <w:rPr>
          <w:sz w:val="22"/>
        </w:rPr>
      </w:pPr>
      <w:r>
        <w:rPr>
          <w:rStyle w:val="Strong"/>
        </w:rPr>
        <w:t>2</w:t>
      </w:r>
      <w:r w:rsidRPr="005A4759">
        <w:rPr>
          <w:rStyle w:val="Strong"/>
          <w:sz w:val="22"/>
        </w:rPr>
        <w:t xml:space="preserve">. </w:t>
      </w:r>
      <w:hyperlink r:id="rId7" w:tgtFrame="_blank" w:history="1">
        <w:r w:rsidRPr="005A4759">
          <w:rPr>
            <w:rStyle w:val="Hyperlink"/>
            <w:sz w:val="22"/>
          </w:rPr>
          <w:t>http://www.fs.fed.us/nepa/nepa_project_exp.php?project=42759</w:t>
        </w:r>
      </w:hyperlink>
    </w:p>
    <w:p w:rsidR="009428A3" w:rsidRDefault="009428A3" w:rsidP="009428A3">
      <w:pPr>
        <w:pStyle w:val="ListParagraph"/>
        <w:widowControl w:val="0"/>
        <w:ind w:left="0"/>
      </w:pPr>
      <w:r>
        <w:rPr>
          <w:sz w:val="22"/>
        </w:rPr>
        <w:t>Maps and data for the electronic warfare range over the Olympic Peninsula</w:t>
      </w:r>
    </w:p>
    <w:tbl>
      <w:tblPr>
        <w:tblW w:w="5000" w:type="pct"/>
        <w:tblCellSpacing w:w="0" w:type="dxa"/>
        <w:tblCellMar>
          <w:left w:w="0" w:type="dxa"/>
          <w:right w:w="0" w:type="dxa"/>
        </w:tblCellMar>
        <w:tblLook w:val="0000"/>
      </w:tblPr>
      <w:tblGrid>
        <w:gridCol w:w="3056"/>
        <w:gridCol w:w="2223"/>
        <w:gridCol w:w="2339"/>
        <w:gridCol w:w="1195"/>
        <w:gridCol w:w="2563"/>
      </w:tblGrid>
      <w:tr w:rsidR="009428A3" w:rsidRPr="005A4759">
        <w:trPr>
          <w:tblCellSpacing w:w="0" w:type="dxa"/>
        </w:trPr>
        <w:tc>
          <w:tcPr>
            <w:tcW w:w="0" w:type="auto"/>
            <w:shd w:val="clear" w:color="auto" w:fill="auto"/>
            <w:vAlign w:val="center"/>
          </w:tcPr>
          <w:p w:rsidR="009428A3" w:rsidRPr="005A4759" w:rsidRDefault="009428A3" w:rsidP="005A4759">
            <w:pPr>
              <w:rPr>
                <w:rFonts w:ascii="Times" w:hAnsi="Times"/>
                <w:sz w:val="20"/>
                <w:szCs w:val="20"/>
              </w:rPr>
            </w:pPr>
            <w:r w:rsidRPr="005A4759">
              <w:rPr>
                <w:rFonts w:ascii="Times" w:hAnsi="Times"/>
                <w:sz w:val="20"/>
                <w:szCs w:val="20"/>
              </w:rPr>
              <w:t>Special use management</w:t>
            </w:r>
          </w:p>
        </w:tc>
        <w:tc>
          <w:tcPr>
            <w:tcW w:w="0" w:type="auto"/>
            <w:shd w:val="clear" w:color="auto" w:fill="auto"/>
            <w:vAlign w:val="center"/>
          </w:tcPr>
          <w:p w:rsidR="009428A3" w:rsidRPr="005A4759" w:rsidRDefault="009428A3" w:rsidP="005A4759">
            <w:pPr>
              <w:rPr>
                <w:rFonts w:ascii="Times" w:hAnsi="Times"/>
                <w:sz w:val="20"/>
                <w:szCs w:val="20"/>
              </w:rPr>
            </w:pPr>
            <w:r w:rsidRPr="005A4759">
              <w:rPr>
                <w:rFonts w:ascii="Times" w:hAnsi="Times"/>
                <w:sz w:val="20"/>
                <w:szCs w:val="20"/>
              </w:rPr>
              <w:t>In Progress</w:t>
            </w:r>
            <w:r w:rsidRPr="005A4759">
              <w:rPr>
                <w:rFonts w:ascii="Times" w:hAnsi="Times"/>
                <w:sz w:val="20"/>
                <w:szCs w:val="20"/>
              </w:rPr>
              <w:br/>
              <w:t>Comment Period</w:t>
            </w:r>
            <w:r w:rsidRPr="005A4759">
              <w:rPr>
                <w:rFonts w:ascii="Times" w:hAnsi="Times"/>
                <w:sz w:val="20"/>
                <w:szCs w:val="20"/>
              </w:rPr>
              <w:br/>
              <w:t>08/11/2014</w:t>
            </w:r>
          </w:p>
        </w:tc>
        <w:tc>
          <w:tcPr>
            <w:tcW w:w="0" w:type="auto"/>
            <w:shd w:val="clear" w:color="auto" w:fill="auto"/>
            <w:vAlign w:val="center"/>
          </w:tcPr>
          <w:p w:rsidR="009428A3" w:rsidRPr="005A4759" w:rsidRDefault="009428A3" w:rsidP="005A4759">
            <w:pPr>
              <w:rPr>
                <w:rFonts w:ascii="Times" w:hAnsi="Times"/>
                <w:sz w:val="20"/>
                <w:szCs w:val="20"/>
              </w:rPr>
            </w:pPr>
            <w:r w:rsidRPr="005A4759">
              <w:rPr>
                <w:rFonts w:ascii="Times" w:hAnsi="Times"/>
                <w:sz w:val="20"/>
                <w:szCs w:val="20"/>
              </w:rPr>
              <w:t>Expected: 10/2016</w:t>
            </w:r>
          </w:p>
        </w:tc>
        <w:tc>
          <w:tcPr>
            <w:tcW w:w="0" w:type="auto"/>
            <w:shd w:val="clear" w:color="auto" w:fill="auto"/>
            <w:vAlign w:val="center"/>
          </w:tcPr>
          <w:p w:rsidR="009428A3" w:rsidRPr="005A4759" w:rsidRDefault="009428A3" w:rsidP="005A4759">
            <w:pPr>
              <w:rPr>
                <w:rFonts w:ascii="Times" w:hAnsi="Times"/>
                <w:sz w:val="20"/>
                <w:szCs w:val="20"/>
              </w:rPr>
            </w:pPr>
            <w:r w:rsidRPr="005A4759">
              <w:rPr>
                <w:rFonts w:ascii="Times" w:hAnsi="Times"/>
                <w:sz w:val="20"/>
                <w:szCs w:val="20"/>
              </w:rPr>
              <w:t>11/2016</w:t>
            </w:r>
          </w:p>
        </w:tc>
        <w:tc>
          <w:tcPr>
            <w:tcW w:w="0" w:type="auto"/>
            <w:shd w:val="clear" w:color="auto" w:fill="auto"/>
            <w:vAlign w:val="center"/>
          </w:tcPr>
          <w:p w:rsidR="009428A3" w:rsidRPr="005A4759" w:rsidRDefault="009428A3" w:rsidP="005A4759">
            <w:pPr>
              <w:rPr>
                <w:rFonts w:ascii="Times" w:hAnsi="Times"/>
                <w:sz w:val="20"/>
                <w:szCs w:val="20"/>
              </w:rPr>
            </w:pPr>
            <w:r w:rsidRPr="005A4759">
              <w:rPr>
                <w:rFonts w:ascii="Times" w:hAnsi="Times"/>
                <w:sz w:val="20"/>
                <w:szCs w:val="20"/>
              </w:rPr>
              <w:t>Gregory Wahl</w:t>
            </w:r>
            <w:r w:rsidRPr="005A4759">
              <w:rPr>
                <w:rFonts w:ascii="Times" w:hAnsi="Times"/>
                <w:sz w:val="20"/>
                <w:szCs w:val="20"/>
              </w:rPr>
              <w:br/>
              <w:t>360-956-2375</w:t>
            </w:r>
            <w:r w:rsidRPr="005A4759">
              <w:rPr>
                <w:rFonts w:ascii="Times" w:hAnsi="Times"/>
                <w:sz w:val="20"/>
                <w:szCs w:val="20"/>
              </w:rPr>
              <w:br/>
              <w:t>gtwahl@fs.fed.us</w:t>
            </w:r>
          </w:p>
        </w:tc>
      </w:tr>
      <w:tr w:rsidR="009428A3" w:rsidRPr="005A4759">
        <w:trPr>
          <w:tblCellSpacing w:w="0" w:type="dxa"/>
        </w:trPr>
        <w:tc>
          <w:tcPr>
            <w:tcW w:w="0" w:type="auto"/>
            <w:gridSpan w:val="5"/>
            <w:shd w:val="clear" w:color="auto" w:fill="auto"/>
            <w:vAlign w:val="center"/>
          </w:tcPr>
          <w:p w:rsidR="009428A3" w:rsidRPr="005A4759" w:rsidRDefault="009428A3" w:rsidP="005A4759">
            <w:pPr>
              <w:rPr>
                <w:rFonts w:ascii="Times" w:hAnsi="Times"/>
                <w:sz w:val="20"/>
                <w:szCs w:val="20"/>
              </w:rPr>
            </w:pPr>
            <w:r w:rsidRPr="005A4759">
              <w:rPr>
                <w:rFonts w:ascii="Times" w:hAnsi="Times"/>
                <w:b/>
                <w:sz w:val="20"/>
                <w:szCs w:val="20"/>
              </w:rPr>
              <w:t>Description:</w:t>
            </w:r>
            <w:r w:rsidRPr="005A4759">
              <w:rPr>
                <w:rFonts w:ascii="Times" w:hAnsi="Times"/>
                <w:sz w:val="20"/>
                <w:szCs w:val="20"/>
              </w:rPr>
              <w:t xml:space="preserve"> Navy is proposing training electronic warfare range consisting of the movement and operation of mobile emitters. This EA is tiered from previous EIS. Several sites are on Forest Service Roads. Navy documents at: http://go.usa.gov/36s35 </w:t>
            </w:r>
          </w:p>
        </w:tc>
      </w:tr>
    </w:tbl>
    <w:p w:rsidR="009428A3" w:rsidRPr="005A4759" w:rsidRDefault="009428A3" w:rsidP="009428A3">
      <w:pPr>
        <w:pStyle w:val="ListParagraph"/>
        <w:widowControl w:val="0"/>
        <w:ind w:left="0"/>
        <w:rPr>
          <w:rFonts w:ascii="Times New Roman" w:eastAsia="Times New Roman" w:hAnsi="Times New Roman" w:cs="Times New Roman"/>
          <w:sz w:val="22"/>
        </w:rPr>
      </w:pPr>
    </w:p>
    <w:p w:rsidR="009428A3" w:rsidRDefault="009428A3" w:rsidP="002D37C9">
      <w:pPr>
        <w:spacing w:beforeLines="1" w:afterLines="1"/>
        <w:rPr>
          <w:sz w:val="22"/>
          <w:szCs w:val="20"/>
        </w:rPr>
      </w:pPr>
      <w:r w:rsidRPr="004103C7">
        <w:rPr>
          <w:b/>
          <w:sz w:val="22"/>
          <w:szCs w:val="20"/>
        </w:rPr>
        <w:t>3.</w:t>
      </w:r>
      <w:r>
        <w:rPr>
          <w:sz w:val="22"/>
          <w:szCs w:val="20"/>
        </w:rPr>
        <w:t xml:space="preserve"> MAPS OF THE 68 BEACHES of the Naval Special Warfare Group THREE,</w:t>
      </w:r>
    </w:p>
    <w:p w:rsidR="009428A3" w:rsidRDefault="00E61A65" w:rsidP="002D37C9">
      <w:pPr>
        <w:spacing w:beforeLines="1" w:afterLines="1"/>
        <w:rPr>
          <w:sz w:val="22"/>
          <w:szCs w:val="20"/>
        </w:rPr>
      </w:pPr>
      <w:hyperlink r:id="rId8" w:history="1">
        <w:r w:rsidR="009428A3" w:rsidRPr="004958C4">
          <w:rPr>
            <w:rStyle w:val="Hyperlink"/>
            <w:sz w:val="22"/>
            <w:szCs w:val="20"/>
          </w:rPr>
          <w:t>http://truthoutdocs.cloudaccess.net/documents/1_US-Navy-Seals-training-NSWG3-Training-REQs_FINAL_19AUG15-MP.pdf</w:t>
        </w:r>
      </w:hyperlink>
    </w:p>
    <w:p w:rsidR="009428A3" w:rsidRDefault="009428A3" w:rsidP="002D37C9">
      <w:pPr>
        <w:spacing w:beforeLines="1" w:afterLines="1"/>
        <w:rPr>
          <w:sz w:val="22"/>
          <w:szCs w:val="20"/>
        </w:rPr>
      </w:pPr>
    </w:p>
    <w:p w:rsidR="009428A3" w:rsidRDefault="009428A3" w:rsidP="009428A3">
      <w:r w:rsidRPr="004103C7">
        <w:rPr>
          <w:b/>
          <w:sz w:val="22"/>
          <w:szCs w:val="20"/>
        </w:rPr>
        <w:t>4.</w:t>
      </w:r>
      <w:r>
        <w:rPr>
          <w:sz w:val="22"/>
          <w:szCs w:val="20"/>
        </w:rPr>
        <w:t xml:space="preserve"> </w:t>
      </w:r>
      <w:r>
        <w:t xml:space="preserve">National Marine Fisheries Service Record of Decision on its Letter of Authorization to the Navy to take marine mammals: </w:t>
      </w:r>
    </w:p>
    <w:p w:rsidR="009428A3" w:rsidRDefault="00E61A65" w:rsidP="009428A3">
      <w:hyperlink r:id="rId9" w:history="1">
        <w:r w:rsidR="009428A3" w:rsidRPr="003B5C82">
          <w:rPr>
            <w:rStyle w:val="Hyperlink"/>
          </w:rPr>
          <w:t>http://www.nmfs.noaa.gov/pr/permits/incidental/military/navynwtt_2015loa_rod2.pdf</w:t>
        </w:r>
      </w:hyperlink>
      <w:r w:rsidR="009428A3" w:rsidRPr="003B5C82">
        <w:t xml:space="preserve"> </w:t>
      </w:r>
    </w:p>
    <w:p w:rsidR="009428A3" w:rsidRDefault="009428A3" w:rsidP="009428A3"/>
    <w:p w:rsidR="009428A3" w:rsidRDefault="009428A3" w:rsidP="009428A3">
      <w:r>
        <w:t>5.  Naval Air Station Whidbey Island – FLIGHT PATTERNS</w:t>
      </w:r>
    </w:p>
    <w:p w:rsidR="009428A3" w:rsidRPr="003B5C82" w:rsidRDefault="009428A3" w:rsidP="009428A3">
      <w:r w:rsidRPr="00493686">
        <w:t>http://www.goanacortes.com/news/image_6d9e5afa-fe55-11e4-b86b-bbb25fb1a633.html</w:t>
      </w:r>
    </w:p>
    <w:p w:rsidR="009428A3" w:rsidRDefault="009428A3" w:rsidP="002D37C9">
      <w:pPr>
        <w:spacing w:beforeLines="1" w:afterLines="1"/>
        <w:rPr>
          <w:sz w:val="22"/>
          <w:szCs w:val="20"/>
        </w:rPr>
      </w:pPr>
    </w:p>
    <w:p w:rsidR="00772E9F" w:rsidRDefault="00772E9F" w:rsidP="00772E9F">
      <w:pPr>
        <w:pStyle w:val="ListParagraph"/>
        <w:widowControl w:val="0"/>
        <w:ind w:left="0"/>
        <w:rPr>
          <w:rFonts w:ascii="Times New Roman" w:eastAsia="Times New Roman" w:hAnsi="Times New Roman" w:cs="Times New Roman"/>
        </w:rPr>
      </w:pPr>
    </w:p>
    <w:p w:rsidR="006136FD" w:rsidRPr="006136FD" w:rsidRDefault="006136FD" w:rsidP="002D37C9">
      <w:pPr>
        <w:spacing w:beforeLines="1" w:afterLines="1"/>
        <w:rPr>
          <w:szCs w:val="20"/>
        </w:rPr>
      </w:pPr>
    </w:p>
    <w:p w:rsidR="002E26C0" w:rsidRPr="006136FD" w:rsidRDefault="002E26C0" w:rsidP="002E26C0">
      <w:pPr>
        <w:pStyle w:val="Body"/>
        <w:spacing w:after="60"/>
        <w:rPr>
          <w:rFonts w:asciiTheme="minorHAnsi" w:hAnsiTheme="minorHAnsi"/>
        </w:rPr>
      </w:pPr>
    </w:p>
    <w:p w:rsidR="002E26C0" w:rsidRPr="006136FD" w:rsidRDefault="002E26C0" w:rsidP="002E26C0">
      <w:pPr>
        <w:pStyle w:val="Body"/>
        <w:spacing w:after="60"/>
        <w:rPr>
          <w:rFonts w:asciiTheme="minorHAnsi" w:hAnsiTheme="minorHAnsi"/>
        </w:rPr>
      </w:pPr>
    </w:p>
    <w:p w:rsidR="002E26C0" w:rsidRDefault="002E26C0" w:rsidP="002E26C0">
      <w:pPr>
        <w:pStyle w:val="Body"/>
        <w:spacing w:after="60"/>
      </w:pPr>
    </w:p>
    <w:p w:rsidR="002E26C0" w:rsidRDefault="002E26C0" w:rsidP="002E26C0">
      <w:pPr>
        <w:pStyle w:val="Body"/>
        <w:spacing w:after="60"/>
      </w:pPr>
    </w:p>
    <w:p w:rsidR="00567ADA" w:rsidRDefault="00567ADA" w:rsidP="002E26C0">
      <w:pPr>
        <w:pStyle w:val="Body"/>
        <w:spacing w:after="60"/>
      </w:pPr>
    </w:p>
    <w:p w:rsidR="00567ADA" w:rsidRDefault="00567ADA" w:rsidP="00544388">
      <w:pPr>
        <w:pStyle w:val="Body"/>
        <w:widowControl w:val="0"/>
      </w:pPr>
    </w:p>
    <w:p w:rsidR="00567ADA" w:rsidRDefault="00567ADA" w:rsidP="00544388">
      <w:pPr>
        <w:pStyle w:val="Body"/>
        <w:widowControl w:val="0"/>
      </w:pPr>
    </w:p>
    <w:p w:rsidR="00544388" w:rsidRDefault="00544388" w:rsidP="00544388">
      <w:pPr>
        <w:pStyle w:val="Body"/>
        <w:widowControl w:val="0"/>
      </w:pPr>
    </w:p>
    <w:p w:rsidR="00544388" w:rsidRDefault="00544388" w:rsidP="00544388">
      <w:pPr>
        <w:pStyle w:val="Body"/>
        <w:widowControl w:val="0"/>
      </w:pPr>
    </w:p>
    <w:p w:rsidR="00544388" w:rsidRDefault="00544388" w:rsidP="00544388">
      <w:pPr>
        <w:pStyle w:val="Body"/>
        <w:widowControl w:val="0"/>
      </w:pPr>
    </w:p>
    <w:p w:rsidR="00544388" w:rsidRDefault="00544388" w:rsidP="00544388">
      <w:pPr>
        <w:pStyle w:val="Body"/>
      </w:pPr>
    </w:p>
    <w:p w:rsidR="00544388" w:rsidDel="00712CFE" w:rsidRDefault="00544388" w:rsidP="00544388">
      <w:pPr>
        <w:pStyle w:val="Body"/>
      </w:pPr>
    </w:p>
    <w:p w:rsidR="00544388" w:rsidRDefault="00544388" w:rsidP="00544388">
      <w:pPr>
        <w:pStyle w:val="Body"/>
      </w:pPr>
    </w:p>
    <w:p w:rsidR="00B351A6" w:rsidRDefault="00B351A6" w:rsidP="00B351A6">
      <w:pPr>
        <w:pStyle w:val="Body"/>
      </w:pPr>
    </w:p>
    <w:p w:rsidR="00544388" w:rsidRDefault="00544388"/>
    <w:sectPr w:rsidR="00544388" w:rsidSect="006136FD">
      <w:pgSz w:w="12240" w:h="15840"/>
      <w:pgMar w:top="432" w:right="432" w:bottom="432" w:left="43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B2B"/>
    <w:multiLevelType w:val="multilevel"/>
    <w:tmpl w:val="21BE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801299"/>
    <w:multiLevelType w:val="hybridMultilevel"/>
    <w:tmpl w:val="F3047FF2"/>
    <w:numStyleLink w:val="ImportedStyle1"/>
  </w:abstractNum>
  <w:abstractNum w:abstractNumId="2">
    <w:nsid w:val="6CB110AD"/>
    <w:multiLevelType w:val="hybridMultilevel"/>
    <w:tmpl w:val="F3047FF2"/>
    <w:styleLink w:val="ImportedStyle1"/>
    <w:lvl w:ilvl="0" w:tplc="D8B89E6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1482202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6C50B5B0">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rPr>
    </w:lvl>
    <w:lvl w:ilvl="3" w:tplc="D0087BE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DD7208C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F45C2A66">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rPr>
    </w:lvl>
    <w:lvl w:ilvl="6" w:tplc="EB64143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E656ED7E">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99969F6A">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B351A6"/>
    <w:rsid w:val="00024396"/>
    <w:rsid w:val="0005416E"/>
    <w:rsid w:val="000A4415"/>
    <w:rsid w:val="00122A60"/>
    <w:rsid w:val="001234E7"/>
    <w:rsid w:val="0017180F"/>
    <w:rsid w:val="002D37C9"/>
    <w:rsid w:val="002E26C0"/>
    <w:rsid w:val="003A4524"/>
    <w:rsid w:val="00544388"/>
    <w:rsid w:val="00567ADA"/>
    <w:rsid w:val="005E49ED"/>
    <w:rsid w:val="006136FD"/>
    <w:rsid w:val="00613F49"/>
    <w:rsid w:val="006B4A93"/>
    <w:rsid w:val="00741AD6"/>
    <w:rsid w:val="00772E9F"/>
    <w:rsid w:val="00787CB0"/>
    <w:rsid w:val="0088776F"/>
    <w:rsid w:val="00890841"/>
    <w:rsid w:val="009428A3"/>
    <w:rsid w:val="00954EBC"/>
    <w:rsid w:val="00984D93"/>
    <w:rsid w:val="009B4A66"/>
    <w:rsid w:val="00A1660E"/>
    <w:rsid w:val="00A75424"/>
    <w:rsid w:val="00AD5C05"/>
    <w:rsid w:val="00AF507E"/>
    <w:rsid w:val="00B351A6"/>
    <w:rsid w:val="00CD5B1C"/>
    <w:rsid w:val="00CE3106"/>
    <w:rsid w:val="00D97D64"/>
    <w:rsid w:val="00DE5DD9"/>
    <w:rsid w:val="00E24204"/>
    <w:rsid w:val="00E61A65"/>
    <w:rsid w:val="00F35108"/>
    <w:rsid w:val="00F548BF"/>
    <w:rsid w:val="00FF6B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B3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351A6"/>
    <w:rPr>
      <w:rFonts w:ascii="Courier" w:hAnsi="Courier" w:cs="Courier"/>
      <w:sz w:val="20"/>
      <w:szCs w:val="20"/>
    </w:rPr>
  </w:style>
  <w:style w:type="paragraph" w:customStyle="1" w:styleId="Body">
    <w:name w:val="Body"/>
    <w:rsid w:val="00B351A6"/>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rsid w:val="00984D93"/>
    <w:rPr>
      <w:color w:val="0000FF"/>
      <w:u w:val="single"/>
    </w:rPr>
  </w:style>
  <w:style w:type="paragraph" w:styleId="NormalWeb">
    <w:name w:val="Normal (Web)"/>
    <w:basedOn w:val="Normal"/>
    <w:uiPriority w:val="99"/>
    <w:rsid w:val="006136FD"/>
    <w:pPr>
      <w:spacing w:beforeLines="1" w:afterLines="1"/>
    </w:pPr>
    <w:rPr>
      <w:rFonts w:ascii="Times" w:hAnsi="Times" w:cs="Times New Roman"/>
      <w:sz w:val="20"/>
      <w:szCs w:val="20"/>
    </w:rPr>
  </w:style>
  <w:style w:type="character" w:styleId="Emphasis">
    <w:name w:val="Emphasis"/>
    <w:basedOn w:val="DefaultParagraphFont"/>
    <w:uiPriority w:val="20"/>
    <w:rsid w:val="006136FD"/>
    <w:rPr>
      <w:i/>
    </w:rPr>
  </w:style>
  <w:style w:type="paragraph" w:styleId="ListParagraph">
    <w:name w:val="List Paragraph"/>
    <w:rsid w:val="00772E9F"/>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ImportedStyle1">
    <w:name w:val="Imported Style 1"/>
    <w:rsid w:val="00772E9F"/>
    <w:pPr>
      <w:numPr>
        <w:numId w:val="2"/>
      </w:numPr>
    </w:pPr>
  </w:style>
  <w:style w:type="character" w:styleId="Strong">
    <w:name w:val="Strong"/>
    <w:basedOn w:val="DefaultParagraphFont"/>
    <w:uiPriority w:val="22"/>
    <w:rsid w:val="009428A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B3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351A6"/>
    <w:rPr>
      <w:rFonts w:ascii="Courier" w:hAnsi="Courier" w:cs="Courier"/>
      <w:sz w:val="20"/>
      <w:szCs w:val="20"/>
    </w:rPr>
  </w:style>
  <w:style w:type="paragraph" w:customStyle="1" w:styleId="Body">
    <w:name w:val="Body"/>
    <w:rsid w:val="00B351A6"/>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rsid w:val="00984D93"/>
    <w:rPr>
      <w:color w:val="0000FF"/>
      <w:u w:val="single"/>
    </w:rPr>
  </w:style>
  <w:style w:type="paragraph" w:styleId="NormalWeb">
    <w:name w:val="Normal (Web)"/>
    <w:basedOn w:val="Normal"/>
    <w:uiPriority w:val="99"/>
    <w:rsid w:val="006136FD"/>
    <w:pPr>
      <w:spacing w:beforeLines="1" w:afterLines="1"/>
    </w:pPr>
    <w:rPr>
      <w:rFonts w:ascii="Times" w:hAnsi="Times" w:cs="Times New Roman"/>
      <w:sz w:val="20"/>
      <w:szCs w:val="20"/>
    </w:rPr>
  </w:style>
  <w:style w:type="character" w:styleId="Emphasis">
    <w:name w:val="Emphasis"/>
    <w:basedOn w:val="DefaultParagraphFont"/>
    <w:uiPriority w:val="20"/>
    <w:rsid w:val="006136FD"/>
    <w:rPr>
      <w:i/>
    </w:rPr>
  </w:style>
  <w:style w:type="paragraph" w:styleId="ListParagraph">
    <w:name w:val="List Paragraph"/>
    <w:rsid w:val="00772E9F"/>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ImportedStyle1">
    <w:name w:val="Imported Style 1"/>
    <w:rsid w:val="00772E9F"/>
    <w:pPr>
      <w:numPr>
        <w:numId w:val="2"/>
      </w:numPr>
    </w:pPr>
  </w:style>
</w:styles>
</file>

<file path=word/webSettings.xml><?xml version="1.0" encoding="utf-8"?>
<w:webSettings xmlns:r="http://schemas.openxmlformats.org/officeDocument/2006/relationships" xmlns:w="http://schemas.openxmlformats.org/wordprocessingml/2006/main">
  <w:divs>
    <w:div w:id="1803572639">
      <w:bodyDiv w:val="1"/>
      <w:marLeft w:val="0"/>
      <w:marRight w:val="0"/>
      <w:marTop w:val="0"/>
      <w:marBottom w:val="0"/>
      <w:divBdr>
        <w:top w:val="none" w:sz="0" w:space="0" w:color="auto"/>
        <w:left w:val="none" w:sz="0" w:space="0" w:color="auto"/>
        <w:bottom w:val="none" w:sz="0" w:space="0" w:color="auto"/>
        <w:right w:val="none" w:sz="0" w:space="0" w:color="auto"/>
      </w:divBdr>
    </w:div>
    <w:div w:id="1908488120">
      <w:bodyDiv w:val="1"/>
      <w:marLeft w:val="0"/>
      <w:marRight w:val="0"/>
      <w:marTop w:val="0"/>
      <w:marBottom w:val="0"/>
      <w:divBdr>
        <w:top w:val="none" w:sz="0" w:space="0" w:color="auto"/>
        <w:left w:val="none" w:sz="0" w:space="0" w:color="auto"/>
        <w:bottom w:val="none" w:sz="0" w:space="0" w:color="auto"/>
        <w:right w:val="none" w:sz="0" w:space="0" w:color="auto"/>
      </w:divBdr>
      <w:divsChild>
        <w:div w:id="1535146506">
          <w:marLeft w:val="0"/>
          <w:marRight w:val="0"/>
          <w:marTop w:val="0"/>
          <w:marBottom w:val="0"/>
          <w:divBdr>
            <w:top w:val="none" w:sz="0" w:space="0" w:color="auto"/>
            <w:left w:val="none" w:sz="0" w:space="0" w:color="auto"/>
            <w:bottom w:val="none" w:sz="0" w:space="0" w:color="auto"/>
            <w:right w:val="none" w:sz="0" w:space="0" w:color="auto"/>
          </w:divBdr>
          <w:divsChild>
            <w:div w:id="929436369">
              <w:marLeft w:val="0"/>
              <w:marRight w:val="0"/>
              <w:marTop w:val="0"/>
              <w:marBottom w:val="0"/>
              <w:divBdr>
                <w:top w:val="none" w:sz="0" w:space="0" w:color="auto"/>
                <w:left w:val="none" w:sz="0" w:space="0" w:color="auto"/>
                <w:bottom w:val="none" w:sz="0" w:space="0" w:color="auto"/>
                <w:right w:val="none" w:sz="0" w:space="0" w:color="auto"/>
              </w:divBdr>
              <w:divsChild>
                <w:div w:id="695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thoutdocs.cloudaccess.net/documents/1_US-Navy-Seals-training-NSWG3-Training-REQs_FINAL_19AUG15-MP.pdf" TargetMode="External"/><Relationship Id="rId3" Type="http://schemas.openxmlformats.org/officeDocument/2006/relationships/settings" Target="settings.xml"/><Relationship Id="rId7" Type="http://schemas.openxmlformats.org/officeDocument/2006/relationships/hyperlink" Target="http://www.fs.fed.us/nepa/nepa_project_exp.php?project=42759"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stcoastactionalliance.org/facts-about-increased-navy-activity-in-the-pacific" TargetMode="External"/><Relationship Id="rId11" Type="http://schemas.openxmlformats.org/officeDocument/2006/relationships/theme" Target="theme/theme1.xml"/><Relationship Id="rId5" Type="http://schemas.openxmlformats.org/officeDocument/2006/relationships/hyperlink" Target="https://www.federalregister.gov/articles/2015/11/24/2015-28894/takes-of-marine-mammals-incidental-to-specified-activities-us-navy-training-and-testing-activit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mfs.noaa.gov/pr/permits/incidental/military/navynwtt_2015loa_ro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Seraphim</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Dilling</dc:creator>
  <cp:lastModifiedBy>Christine Kerlin</cp:lastModifiedBy>
  <cp:revision>2</cp:revision>
  <dcterms:created xsi:type="dcterms:W3CDTF">2016-05-05T16:00:00Z</dcterms:created>
  <dcterms:modified xsi:type="dcterms:W3CDTF">2016-05-05T16:00:00Z</dcterms:modified>
</cp:coreProperties>
</file>